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1A9FF" w14:textId="77777777" w:rsidR="00780386" w:rsidRDefault="00780386">
      <w:pPr>
        <w:widowControl w:val="0"/>
        <w:pBdr>
          <w:top w:val="nil"/>
          <w:left w:val="nil"/>
          <w:bottom w:val="nil"/>
          <w:right w:val="nil"/>
          <w:between w:val="nil"/>
        </w:pBdr>
        <w:spacing w:line="276" w:lineRule="auto"/>
        <w:ind w:firstLine="0"/>
        <w:jc w:val="left"/>
      </w:pPr>
    </w:p>
    <w:p w14:paraId="0C035F73" w14:textId="77777777" w:rsidR="00780386" w:rsidRDefault="00780386">
      <w:pPr>
        <w:widowControl w:val="0"/>
        <w:pBdr>
          <w:top w:val="nil"/>
          <w:left w:val="nil"/>
          <w:bottom w:val="nil"/>
          <w:right w:val="nil"/>
          <w:between w:val="nil"/>
        </w:pBdr>
        <w:spacing w:line="276" w:lineRule="auto"/>
        <w:ind w:firstLine="0"/>
        <w:jc w:val="left"/>
        <w:rPr>
          <w:rFonts w:ascii="Arial" w:eastAsia="Arial" w:hAnsi="Arial" w:cs="Arial"/>
          <w:color w:val="000000"/>
        </w:rPr>
      </w:pPr>
    </w:p>
    <w:tbl>
      <w:tblPr>
        <w:tblStyle w:val="a"/>
        <w:tblW w:w="9071"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978"/>
        <w:gridCol w:w="283"/>
        <w:gridCol w:w="5810"/>
      </w:tblGrid>
      <w:tr w:rsidR="00780386" w14:paraId="2D73FC24" w14:textId="77777777">
        <w:trPr>
          <w:trHeight w:val="1939"/>
        </w:trPr>
        <w:tc>
          <w:tcPr>
            <w:tcW w:w="2978" w:type="dxa"/>
            <w:vMerge w:val="restart"/>
            <w:shd w:val="clear" w:color="auto" w:fill="4B4D4F"/>
          </w:tcPr>
          <w:p w14:paraId="78718103" w14:textId="77777777" w:rsidR="00780386" w:rsidRDefault="00780386">
            <w:pPr>
              <w:pBdr>
                <w:top w:val="nil"/>
                <w:left w:val="nil"/>
                <w:bottom w:val="nil"/>
                <w:right w:val="nil"/>
                <w:between w:val="nil"/>
              </w:pBdr>
              <w:ind w:right="851" w:firstLine="0"/>
              <w:jc w:val="left"/>
              <w:rPr>
                <w:rFonts w:ascii="Times New Roman" w:eastAsia="Times New Roman" w:hAnsi="Times New Roman" w:cs="Times New Roman"/>
                <w:color w:val="000000"/>
                <w:sz w:val="28"/>
                <w:szCs w:val="28"/>
              </w:rPr>
            </w:pPr>
          </w:p>
          <w:p w14:paraId="356F3FCF" w14:textId="77777777" w:rsidR="00780386" w:rsidRDefault="00C443EB">
            <w:pPr>
              <w:pBdr>
                <w:top w:val="nil"/>
                <w:left w:val="nil"/>
                <w:bottom w:val="nil"/>
                <w:right w:val="nil"/>
                <w:between w:val="nil"/>
              </w:pBdr>
              <w:ind w:firstLine="0"/>
              <w:jc w:val="center"/>
              <w:rPr>
                <w:rFonts w:ascii="Arial" w:eastAsia="Arial" w:hAnsi="Arial" w:cs="Arial"/>
                <w:b/>
                <w:bCs/>
                <w:color w:val="000000"/>
                <w:sz w:val="28"/>
                <w:szCs w:val="28"/>
              </w:rPr>
            </w:pPr>
            <w:r>
              <w:rPr>
                <w:rFonts w:ascii="Arial" w:eastAsia="Arial" w:hAnsi="Arial" w:cs="Arial"/>
                <w:b/>
                <w:bCs/>
                <w:noProof/>
                <w:color w:val="000000"/>
                <w:sz w:val="28"/>
                <w:szCs w:val="28"/>
                <w:lang w:val="en-US" w:eastAsia="en-US"/>
              </w:rPr>
              <w:drawing>
                <wp:inline distT="0" distB="0" distL="0" distR="0" wp14:anchorId="4826E474" wp14:editId="17171348">
                  <wp:extent cx="1681672" cy="2378610"/>
                  <wp:effectExtent l="0" t="0" r="0" b="0"/>
                  <wp:docPr id="1" name="image1.png" descr="A cover of a boo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over of a book&#10;&#10;Description automatically generated"/>
                          <pic:cNvPicPr preferRelativeResize="0"/>
                        </pic:nvPicPr>
                        <pic:blipFill>
                          <a:blip r:embed="rId7"/>
                          <a:srcRect/>
                          <a:stretch>
                            <a:fillRect/>
                          </a:stretch>
                        </pic:blipFill>
                        <pic:spPr>
                          <a:xfrm>
                            <a:off x="0" y="0"/>
                            <a:ext cx="1681672" cy="2378610"/>
                          </a:xfrm>
                          <a:prstGeom prst="rect">
                            <a:avLst/>
                          </a:prstGeom>
                          <a:ln/>
                        </pic:spPr>
                      </pic:pic>
                    </a:graphicData>
                  </a:graphic>
                </wp:inline>
              </w:drawing>
            </w:r>
          </w:p>
          <w:p w14:paraId="07EFBB73" w14:textId="77777777" w:rsidR="00780386" w:rsidRDefault="00780386">
            <w:pPr>
              <w:ind w:firstLine="0"/>
              <w:rPr>
                <w:rFonts w:ascii="Open Sans" w:eastAsia="Open Sans" w:hAnsi="Open Sans" w:cs="Open Sans"/>
                <w:color w:val="000000"/>
                <w:sz w:val="20"/>
                <w:szCs w:val="20"/>
              </w:rPr>
            </w:pPr>
          </w:p>
          <w:p w14:paraId="12F6D6B0" w14:textId="7CCEEF41" w:rsidR="00780386" w:rsidRPr="00E32193" w:rsidRDefault="00B77FFA">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Vol. 9, Issue 2</w:t>
            </w:r>
            <w:r w:rsidR="00C443EB" w:rsidRPr="00E32193">
              <w:rPr>
                <w:rFonts w:ascii="Open Sans" w:eastAsia="Open Sans" w:hAnsi="Open Sans" w:cs="Open Sans"/>
                <w:color w:val="FFFFFF"/>
                <w:sz w:val="20"/>
                <w:szCs w:val="20"/>
              </w:rPr>
              <w:t>,</w:t>
            </w:r>
          </w:p>
          <w:p w14:paraId="2296E259" w14:textId="22DCB9F2" w:rsidR="00780386" w:rsidRPr="00E32193" w:rsidRDefault="00B77FFA">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August 2026</w:t>
            </w:r>
          </w:p>
          <w:p w14:paraId="117643F5"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p-ISSN: 2615-8671</w:t>
            </w:r>
          </w:p>
          <w:p w14:paraId="0119B665"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e-ISSN: 2615-868X</w:t>
            </w:r>
          </w:p>
          <w:p w14:paraId="5276F07F" w14:textId="77777777" w:rsidR="00780386" w:rsidRPr="00E32193" w:rsidRDefault="00780386">
            <w:pPr>
              <w:ind w:firstLine="0"/>
              <w:rPr>
                <w:rFonts w:ascii="Open Sans" w:eastAsia="Open Sans" w:hAnsi="Open Sans" w:cs="Open Sans"/>
                <w:color w:val="FFFFFF"/>
                <w:sz w:val="20"/>
                <w:szCs w:val="20"/>
              </w:rPr>
            </w:pPr>
          </w:p>
          <w:p w14:paraId="37F50DA2"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Received: June 18, 2026</w:t>
            </w:r>
          </w:p>
          <w:p w14:paraId="4F18C875" w14:textId="59FC41BA"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 xml:space="preserve">Revised: </w:t>
            </w:r>
            <w:r w:rsidR="00817F0D">
              <w:rPr>
                <w:rFonts w:ascii="Open Sans" w:eastAsia="Open Sans" w:hAnsi="Open Sans" w:cs="Open Sans"/>
                <w:color w:val="FFFFFF"/>
                <w:sz w:val="20"/>
                <w:szCs w:val="20"/>
              </w:rPr>
              <w:t>July 3, 2026</w:t>
            </w:r>
          </w:p>
          <w:p w14:paraId="04CF0AB9" w14:textId="3D3DEC36"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 xml:space="preserve">Accepted: </w:t>
            </w:r>
            <w:r w:rsidR="00817F0D">
              <w:rPr>
                <w:rFonts w:ascii="Open Sans" w:eastAsia="Open Sans" w:hAnsi="Open Sans" w:cs="Open Sans"/>
                <w:color w:val="FFFFFF"/>
                <w:sz w:val="20"/>
                <w:szCs w:val="20"/>
              </w:rPr>
              <w:t>August 7, 2026</w:t>
            </w:r>
          </w:p>
          <w:p w14:paraId="15DB02FF" w14:textId="77777777" w:rsidR="00780386" w:rsidRPr="00E32193" w:rsidRDefault="00780386">
            <w:pPr>
              <w:ind w:firstLine="0"/>
              <w:rPr>
                <w:rFonts w:ascii="Open Sans" w:eastAsia="Open Sans" w:hAnsi="Open Sans" w:cs="Open Sans"/>
                <w:color w:val="FFFFFF"/>
                <w:sz w:val="20"/>
                <w:szCs w:val="20"/>
              </w:rPr>
            </w:pPr>
          </w:p>
          <w:p w14:paraId="0E0EB56D" w14:textId="77777777" w:rsidR="00780386"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Corresponding Author:</w:t>
            </w:r>
          </w:p>
          <w:p w14:paraId="6E997054" w14:textId="3BFF38D7" w:rsidR="00817F0D" w:rsidRDefault="00817F0D">
            <w:pPr>
              <w:ind w:firstLine="0"/>
              <w:jc w:val="right"/>
              <w:rPr>
                <w:rFonts w:ascii="Open Sans" w:eastAsia="Open Sans" w:hAnsi="Open Sans" w:cs="Open Sans"/>
                <w:color w:val="FFFFFF"/>
                <w:sz w:val="20"/>
                <w:szCs w:val="20"/>
              </w:rPr>
            </w:pPr>
            <w:r>
              <w:rPr>
                <w:rFonts w:ascii="Open Sans" w:eastAsia="Open Sans" w:hAnsi="Open Sans" w:cs="Open Sans"/>
                <w:color w:val="FFFFFF"/>
                <w:sz w:val="20"/>
                <w:szCs w:val="20"/>
              </w:rPr>
              <w:t>Lokita Paloma Dewi</w:t>
            </w:r>
          </w:p>
          <w:p w14:paraId="78AF1328" w14:textId="52748F85" w:rsidR="00817F0D" w:rsidRPr="00817F0D" w:rsidRDefault="00817F0D">
            <w:pPr>
              <w:ind w:firstLine="0"/>
              <w:jc w:val="right"/>
              <w:rPr>
                <w:rFonts w:ascii="Open Sans" w:eastAsia="Open Sans" w:hAnsi="Open Sans" w:cs="Open Sans"/>
                <w:color w:val="FFFFFF"/>
                <w:sz w:val="18"/>
                <w:szCs w:val="18"/>
              </w:rPr>
            </w:pPr>
            <w:r w:rsidRPr="00817F0D">
              <w:rPr>
                <w:rFonts w:ascii="Open Sans" w:eastAsia="Open Sans" w:hAnsi="Open Sans" w:cs="Open Sans"/>
                <w:color w:val="FFFFFF"/>
                <w:sz w:val="18"/>
                <w:szCs w:val="18"/>
              </w:rPr>
              <w:t>2210631060022@student.unsika.ac.id</w:t>
            </w:r>
          </w:p>
          <w:p w14:paraId="6552C055" w14:textId="77777777" w:rsidR="00780386" w:rsidRPr="00E32193" w:rsidRDefault="00780386">
            <w:pPr>
              <w:ind w:firstLine="0"/>
              <w:rPr>
                <w:rFonts w:ascii="Open Sans" w:eastAsia="Open Sans" w:hAnsi="Open Sans" w:cs="Open Sans"/>
                <w:color w:val="FFFFFF"/>
                <w:sz w:val="20"/>
                <w:szCs w:val="20"/>
              </w:rPr>
            </w:pPr>
          </w:p>
          <w:p w14:paraId="32A95D63" w14:textId="77777777" w:rsidR="00780386" w:rsidRPr="00E32193" w:rsidRDefault="00780386">
            <w:pPr>
              <w:ind w:firstLine="0"/>
              <w:rPr>
                <w:rFonts w:ascii="Open Sans" w:eastAsia="Open Sans" w:hAnsi="Open Sans" w:cs="Open Sans"/>
                <w:color w:val="FFFFFF"/>
                <w:sz w:val="20"/>
                <w:szCs w:val="20"/>
              </w:rPr>
            </w:pPr>
          </w:p>
          <w:p w14:paraId="26707702"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 xml:space="preserve">DOI: </w:t>
            </w:r>
          </w:p>
          <w:p w14:paraId="43924B9D"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https://doi.org/</w:t>
            </w:r>
          </w:p>
          <w:p w14:paraId="5E6B8F3D" w14:textId="77777777" w:rsidR="00780386" w:rsidRPr="00E32193" w:rsidRDefault="00780386">
            <w:pPr>
              <w:ind w:firstLine="0"/>
              <w:jc w:val="right"/>
              <w:rPr>
                <w:rFonts w:ascii="Open Sans" w:eastAsia="Open Sans" w:hAnsi="Open Sans" w:cs="Open Sans"/>
                <w:color w:val="FFFFFF"/>
                <w:sz w:val="20"/>
                <w:szCs w:val="20"/>
              </w:rPr>
            </w:pPr>
          </w:p>
          <w:p w14:paraId="5F6302C1" w14:textId="77777777" w:rsidR="00780386" w:rsidRPr="00E32193" w:rsidRDefault="00780386">
            <w:pPr>
              <w:ind w:firstLine="0"/>
              <w:jc w:val="right"/>
              <w:rPr>
                <w:rFonts w:ascii="Open Sans" w:eastAsia="Open Sans" w:hAnsi="Open Sans" w:cs="Open Sans"/>
                <w:color w:val="FFFFFF"/>
                <w:sz w:val="20"/>
                <w:szCs w:val="20"/>
              </w:rPr>
            </w:pPr>
          </w:p>
          <w:p w14:paraId="746DA005"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Published by:</w:t>
            </w:r>
          </w:p>
          <w:p w14:paraId="2CA0CDF6"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 xml:space="preserve">Universitas </w:t>
            </w:r>
            <w:proofErr w:type="spellStart"/>
            <w:r w:rsidRPr="00E32193">
              <w:rPr>
                <w:rFonts w:ascii="Open Sans" w:eastAsia="Open Sans" w:hAnsi="Open Sans" w:cs="Open Sans"/>
                <w:color w:val="FFFFFF"/>
                <w:sz w:val="20"/>
                <w:szCs w:val="20"/>
              </w:rPr>
              <w:t>Indraprasta</w:t>
            </w:r>
            <w:proofErr w:type="spellEnd"/>
            <w:r w:rsidRPr="00E32193">
              <w:rPr>
                <w:rFonts w:ascii="Open Sans" w:eastAsia="Open Sans" w:hAnsi="Open Sans" w:cs="Open Sans"/>
                <w:color w:val="FFFFFF"/>
                <w:sz w:val="20"/>
                <w:szCs w:val="20"/>
              </w:rPr>
              <w:t xml:space="preserve"> PGRI</w:t>
            </w:r>
          </w:p>
          <w:p w14:paraId="300A30CF" w14:textId="77777777" w:rsidR="00780386" w:rsidRPr="00E32193" w:rsidRDefault="00780386">
            <w:pPr>
              <w:ind w:firstLine="0"/>
              <w:jc w:val="right"/>
              <w:rPr>
                <w:rFonts w:ascii="Open Sans" w:eastAsia="Open Sans" w:hAnsi="Open Sans" w:cs="Open Sans"/>
                <w:color w:val="FFFFFF"/>
                <w:sz w:val="20"/>
                <w:szCs w:val="20"/>
              </w:rPr>
            </w:pPr>
          </w:p>
          <w:p w14:paraId="11FF31E5" w14:textId="77777777" w:rsidR="00780386" w:rsidRPr="00E32193" w:rsidRDefault="00780386">
            <w:pPr>
              <w:ind w:firstLine="0"/>
              <w:jc w:val="right"/>
              <w:rPr>
                <w:rFonts w:ascii="Open Sans" w:eastAsia="Open Sans" w:hAnsi="Open Sans" w:cs="Open Sans"/>
                <w:color w:val="FFFFFF"/>
                <w:sz w:val="20"/>
                <w:szCs w:val="20"/>
              </w:rPr>
            </w:pPr>
          </w:p>
          <w:p w14:paraId="0629D69E" w14:textId="77777777" w:rsidR="00780386" w:rsidRPr="00E32193"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noProof/>
                <w:color w:val="FFFFFF"/>
                <w:sz w:val="20"/>
                <w:szCs w:val="20"/>
                <w:lang w:val="en-US" w:eastAsia="en-US"/>
              </w:rPr>
              <w:drawing>
                <wp:inline distT="0" distB="0" distL="0" distR="0" wp14:anchorId="6B4B5C2A" wp14:editId="451B9B23">
                  <wp:extent cx="838200" cy="2952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p w14:paraId="0E1B1643" w14:textId="77777777" w:rsidR="00780386" w:rsidRDefault="00C443EB">
            <w:pPr>
              <w:ind w:firstLine="0"/>
              <w:jc w:val="right"/>
              <w:rPr>
                <w:rFonts w:ascii="Open Sans" w:eastAsia="Open Sans" w:hAnsi="Open Sans" w:cs="Open Sans"/>
                <w:color w:val="FFFFFF"/>
                <w:sz w:val="20"/>
                <w:szCs w:val="20"/>
              </w:rPr>
            </w:pPr>
            <w:r w:rsidRPr="00E32193">
              <w:rPr>
                <w:rFonts w:ascii="Open Sans" w:eastAsia="Open Sans" w:hAnsi="Open Sans" w:cs="Open Sans"/>
                <w:color w:val="FFFFFF"/>
                <w:sz w:val="20"/>
                <w:szCs w:val="20"/>
              </w:rPr>
              <w:t>Licensed under a Creative Commons Attribution-</w:t>
            </w:r>
            <w:proofErr w:type="spellStart"/>
            <w:r w:rsidRPr="00E32193">
              <w:rPr>
                <w:rFonts w:ascii="Open Sans" w:eastAsia="Open Sans" w:hAnsi="Open Sans" w:cs="Open Sans"/>
                <w:color w:val="FFFFFF"/>
                <w:sz w:val="20"/>
                <w:szCs w:val="20"/>
              </w:rPr>
              <w:t>NonCommercial</w:t>
            </w:r>
            <w:proofErr w:type="spellEnd"/>
            <w:r w:rsidRPr="00E32193">
              <w:rPr>
                <w:rFonts w:ascii="Open Sans" w:eastAsia="Open Sans" w:hAnsi="Open Sans" w:cs="Open Sans"/>
                <w:color w:val="FFFFFF"/>
                <w:sz w:val="20"/>
                <w:szCs w:val="20"/>
              </w:rPr>
              <w:t>-</w:t>
            </w:r>
            <w:proofErr w:type="spellStart"/>
            <w:r w:rsidRPr="00E32193">
              <w:rPr>
                <w:rFonts w:ascii="Open Sans" w:eastAsia="Open Sans" w:hAnsi="Open Sans" w:cs="Open Sans"/>
                <w:color w:val="FFFFFF"/>
                <w:sz w:val="20"/>
                <w:szCs w:val="20"/>
              </w:rPr>
              <w:t>NoDerivatives</w:t>
            </w:r>
            <w:proofErr w:type="spellEnd"/>
            <w:r w:rsidRPr="00E32193">
              <w:rPr>
                <w:rFonts w:ascii="Open Sans" w:eastAsia="Open Sans" w:hAnsi="Open Sans" w:cs="Open Sans"/>
                <w:color w:val="FFFFFF"/>
                <w:sz w:val="20"/>
                <w:szCs w:val="20"/>
              </w:rPr>
              <w:t xml:space="preserve"> 4.0 International License</w:t>
            </w:r>
          </w:p>
        </w:tc>
        <w:tc>
          <w:tcPr>
            <w:tcW w:w="283" w:type="dxa"/>
          </w:tcPr>
          <w:p w14:paraId="4031B7EB" w14:textId="77777777" w:rsidR="00780386" w:rsidRDefault="00780386">
            <w:pPr>
              <w:pBdr>
                <w:top w:val="nil"/>
                <w:left w:val="nil"/>
                <w:bottom w:val="nil"/>
                <w:right w:val="nil"/>
                <w:between w:val="nil"/>
              </w:pBdr>
              <w:ind w:right="851" w:firstLine="0"/>
              <w:jc w:val="left"/>
              <w:rPr>
                <w:rFonts w:ascii="Times New Roman" w:eastAsia="Times New Roman" w:hAnsi="Times New Roman" w:cs="Times New Roman"/>
                <w:color w:val="000000"/>
                <w:sz w:val="10"/>
                <w:szCs w:val="10"/>
              </w:rPr>
            </w:pPr>
          </w:p>
        </w:tc>
        <w:tc>
          <w:tcPr>
            <w:tcW w:w="5810" w:type="dxa"/>
            <w:tcBorders>
              <w:bottom w:val="single" w:sz="18" w:space="0" w:color="FADF70"/>
            </w:tcBorders>
          </w:tcPr>
          <w:p w14:paraId="4E699952" w14:textId="77777777" w:rsidR="00780386" w:rsidRDefault="00C443EB">
            <w:pPr>
              <w:pBdr>
                <w:top w:val="nil"/>
                <w:left w:val="nil"/>
                <w:bottom w:val="nil"/>
                <w:right w:val="nil"/>
                <w:between w:val="nil"/>
              </w:pBdr>
              <w:ind w:right="851" w:firstLine="0"/>
              <w:jc w:val="left"/>
              <w:rPr>
                <w:rFonts w:ascii="Times New Roman" w:eastAsia="Times New Roman" w:hAnsi="Times New Roman" w:cs="Times New Roman"/>
                <w:b/>
                <w:bCs/>
                <w:i/>
                <w:iCs/>
                <w:color w:val="FADF70"/>
                <w:sz w:val="28"/>
                <w:szCs w:val="28"/>
              </w:rPr>
            </w:pPr>
            <w:bookmarkStart w:id="0" w:name="_heading=h.bppwa61jyjst" w:colFirst="0" w:colLast="0"/>
            <w:bookmarkEnd w:id="0"/>
            <w:r>
              <w:rPr>
                <w:rFonts w:ascii="Times New Roman" w:eastAsia="Times New Roman" w:hAnsi="Times New Roman" w:cs="Times New Roman"/>
                <w:b/>
                <w:bCs/>
                <w:i/>
                <w:iCs/>
                <w:color w:val="FADF70"/>
                <w:sz w:val="28"/>
                <w:szCs w:val="28"/>
              </w:rPr>
              <w:t>RESEARCH ARTICLE</w:t>
            </w:r>
          </w:p>
          <w:p w14:paraId="109AA942" w14:textId="77777777" w:rsidR="00780386" w:rsidRDefault="00C443EB" w:rsidP="00817F0D">
            <w:pPr>
              <w:pBdr>
                <w:top w:val="nil"/>
                <w:left w:val="nil"/>
                <w:bottom w:val="nil"/>
                <w:right w:val="nil"/>
                <w:between w:val="nil"/>
              </w:pBdr>
              <w:spacing w:before="360" w:after="360"/>
              <w:ind w:firstLine="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EXPLORING TEACHERS’ STRATEGIES IN TEACHING ENGLISH VOCABULARY AT A VOCATIONAL HIGH SCHOOL IN KARAWAN</w:t>
            </w:r>
            <w:r w:rsidR="00E32FF6">
              <w:rPr>
                <w:rFonts w:ascii="Times New Roman" w:eastAsia="Times New Roman" w:hAnsi="Times New Roman" w:cs="Times New Roman"/>
                <w:b/>
                <w:bCs/>
                <w:color w:val="000000"/>
                <w:sz w:val="28"/>
                <w:szCs w:val="28"/>
              </w:rPr>
              <w:t>G</w:t>
            </w:r>
          </w:p>
          <w:p w14:paraId="28DA1354" w14:textId="693594F2" w:rsidR="00E32FF6" w:rsidRPr="00E32FF6" w:rsidRDefault="00E32FF6" w:rsidP="00E32FF6">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Lokita Paloma Dewi¹</w:t>
            </w:r>
            <w:r>
              <w:rPr>
                <w:rFonts w:ascii="Times New Roman" w:eastAsia="Times New Roman" w:hAnsi="Times New Roman" w:cs="Times New Roman"/>
                <w:color w:val="000000"/>
                <w:sz w:val="24"/>
                <w:szCs w:val="24"/>
              </w:rPr>
              <w:t xml:space="preserve">, </w:t>
            </w:r>
          </w:p>
          <w:p w14:paraId="19A9D35C" w14:textId="218FE893" w:rsidR="00E32FF6" w:rsidRDefault="00E32FF6" w:rsidP="00E32FF6">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Fela Dafitri²</w:t>
            </w:r>
            <w:r>
              <w:rPr>
                <w:rFonts w:ascii="Times New Roman" w:eastAsia="Times New Roman" w:hAnsi="Times New Roman" w:cs="Times New Roman"/>
                <w:color w:val="000000"/>
                <w:sz w:val="24"/>
                <w:szCs w:val="24"/>
              </w:rPr>
              <w:t xml:space="preserve">, </w:t>
            </w:r>
          </w:p>
          <w:p w14:paraId="231E210D" w14:textId="77777777" w:rsidR="00E32FF6" w:rsidRPr="00934FEE" w:rsidRDefault="00E32FF6" w:rsidP="00E32FF6">
            <w:pPr>
              <w:pBdr>
                <w:top w:val="nil"/>
                <w:left w:val="nil"/>
                <w:bottom w:val="nil"/>
                <w:right w:val="nil"/>
                <w:between w:val="nil"/>
              </w:pBdr>
              <w:ind w:firstLine="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Yousef Bani Ahmad³,</w:t>
            </w:r>
          </w:p>
          <w:p w14:paraId="55E6C524" w14:textId="774783E5" w:rsidR="00E32FF6" w:rsidRPr="00E32FF6" w:rsidRDefault="00B77FFA" w:rsidP="00E32FF6">
            <w:pPr>
              <w:pBdr>
                <w:top w:val="nil"/>
                <w:left w:val="nil"/>
                <w:bottom w:val="nil"/>
                <w:right w:val="nil"/>
                <w:between w:val="nil"/>
              </w:pBdr>
              <w:ind w:firstLine="0"/>
              <w:jc w:val="left"/>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vertAlign w:val="superscript"/>
              </w:rPr>
              <w:t>1,2,3</w:t>
            </w:r>
            <w:r w:rsidR="00E32FF6" w:rsidRPr="00E32FF6">
              <w:rPr>
                <w:rFonts w:ascii="Times New Roman" w:eastAsia="Times New Roman" w:hAnsi="Times New Roman" w:cs="Times New Roman"/>
                <w:i/>
                <w:iCs/>
                <w:sz w:val="20"/>
                <w:szCs w:val="20"/>
              </w:rPr>
              <w:t xml:space="preserve">Universitas </w:t>
            </w:r>
            <w:proofErr w:type="spellStart"/>
            <w:r w:rsidR="00E32FF6" w:rsidRPr="00E32FF6">
              <w:rPr>
                <w:rFonts w:ascii="Times New Roman" w:eastAsia="Times New Roman" w:hAnsi="Times New Roman" w:cs="Times New Roman"/>
                <w:i/>
                <w:iCs/>
                <w:sz w:val="20"/>
                <w:szCs w:val="20"/>
              </w:rPr>
              <w:t>Singaperbangsa</w:t>
            </w:r>
            <w:proofErr w:type="spellEnd"/>
            <w:r w:rsidR="00E32FF6" w:rsidRPr="00E32FF6">
              <w:rPr>
                <w:rFonts w:ascii="Times New Roman" w:eastAsia="Times New Roman" w:hAnsi="Times New Roman" w:cs="Times New Roman"/>
                <w:i/>
                <w:iCs/>
                <w:sz w:val="20"/>
                <w:szCs w:val="20"/>
              </w:rPr>
              <w:t xml:space="preserve"> Karawang, Karawang, Indonesia</w:t>
            </w:r>
            <w:r w:rsidR="00E32FF6" w:rsidRPr="00E32FF6">
              <w:rPr>
                <w:rFonts w:ascii="Times New Roman" w:eastAsia="Times New Roman" w:hAnsi="Times New Roman" w:cs="Times New Roman"/>
                <w:i/>
                <w:iCs/>
                <w:color w:val="000000"/>
                <w:sz w:val="20"/>
                <w:szCs w:val="20"/>
              </w:rPr>
              <w:t xml:space="preserve"> </w:t>
            </w:r>
          </w:p>
          <w:p w14:paraId="1125D29E" w14:textId="77777777" w:rsidR="00E32FF6" w:rsidRDefault="00E32FF6" w:rsidP="00E32FF6">
            <w:pPr>
              <w:pBdr>
                <w:top w:val="nil"/>
                <w:left w:val="nil"/>
                <w:bottom w:val="nil"/>
                <w:right w:val="nil"/>
                <w:between w:val="nil"/>
              </w:pBdr>
              <w:ind w:firstLine="0"/>
              <w:jc w:val="left"/>
              <w:rPr>
                <w:rFonts w:ascii="Times New Roman" w:eastAsia="Times New Roman" w:hAnsi="Times New Roman" w:cs="Times New Roman"/>
                <w:color w:val="000000"/>
                <w:sz w:val="24"/>
                <w:szCs w:val="24"/>
              </w:rPr>
            </w:pPr>
          </w:p>
          <w:p w14:paraId="730DB762" w14:textId="77777777" w:rsidR="00E32FF6" w:rsidRPr="00E32FF6" w:rsidRDefault="00E32FF6" w:rsidP="00E32FF6">
            <w:pPr>
              <w:pBdr>
                <w:top w:val="nil"/>
                <w:left w:val="nil"/>
                <w:bottom w:val="nil"/>
                <w:right w:val="nil"/>
                <w:between w:val="nil"/>
              </w:pBdr>
              <w:ind w:firstLine="0"/>
              <w:jc w:val="left"/>
              <w:rPr>
                <w:rFonts w:ascii="Times New Roman" w:eastAsia="Times New Roman" w:hAnsi="Times New Roman" w:cs="Times New Roman"/>
                <w:i/>
                <w:iCs/>
                <w:color w:val="000000"/>
                <w:sz w:val="20"/>
                <w:szCs w:val="20"/>
              </w:rPr>
            </w:pPr>
            <w:r w:rsidRPr="00E32FF6">
              <w:rPr>
                <w:rFonts w:ascii="Times New Roman" w:eastAsia="Times New Roman" w:hAnsi="Times New Roman" w:cs="Times New Roman"/>
                <w:i/>
                <w:iCs/>
                <w:color w:val="000000"/>
                <w:sz w:val="20"/>
                <w:szCs w:val="20"/>
              </w:rPr>
              <w:t xml:space="preserve">e-mail: </w:t>
            </w:r>
            <w:hyperlink r:id="rId9">
              <w:r w:rsidRPr="00E32FF6">
                <w:rPr>
                  <w:rFonts w:ascii="Times New Roman" w:eastAsia="Times New Roman" w:hAnsi="Times New Roman" w:cs="Times New Roman"/>
                  <w:i/>
                  <w:iCs/>
                  <w:sz w:val="20"/>
                  <w:szCs w:val="20"/>
                  <w:u w:val="single"/>
                </w:rPr>
                <w:t>2210631060022@student.unsika.ac.id</w:t>
              </w:r>
            </w:hyperlink>
            <w:r w:rsidRPr="00E32FF6">
              <w:rPr>
                <w:rFonts w:ascii="Times New Roman" w:eastAsia="Times New Roman" w:hAnsi="Times New Roman" w:cs="Times New Roman"/>
                <w:i/>
                <w:iCs/>
                <w:color w:val="000000"/>
                <w:sz w:val="20"/>
                <w:szCs w:val="20"/>
              </w:rPr>
              <w:t>¹</w:t>
            </w:r>
          </w:p>
          <w:p w14:paraId="29F7BAFA" w14:textId="77777777" w:rsidR="00E32FF6" w:rsidRPr="00E32FF6" w:rsidRDefault="00E32FF6" w:rsidP="00E32FF6">
            <w:pPr>
              <w:pBdr>
                <w:top w:val="nil"/>
                <w:left w:val="nil"/>
                <w:bottom w:val="nil"/>
                <w:right w:val="nil"/>
                <w:between w:val="nil"/>
              </w:pBdr>
              <w:ind w:firstLine="0"/>
              <w:jc w:val="left"/>
              <w:rPr>
                <w:rFonts w:ascii="Times New Roman" w:eastAsia="Times New Roman" w:hAnsi="Times New Roman" w:cs="Times New Roman"/>
                <w:i/>
                <w:iCs/>
                <w:color w:val="000000"/>
                <w:sz w:val="20"/>
                <w:szCs w:val="20"/>
              </w:rPr>
            </w:pPr>
            <w:r w:rsidRPr="00E32FF6">
              <w:rPr>
                <w:rFonts w:ascii="Times New Roman" w:eastAsia="Times New Roman" w:hAnsi="Times New Roman" w:cs="Times New Roman"/>
                <w:i/>
                <w:iCs/>
                <w:color w:val="000000"/>
                <w:sz w:val="20"/>
                <w:szCs w:val="20"/>
              </w:rPr>
              <w:t xml:space="preserve">e-mail: </w:t>
            </w:r>
            <w:hyperlink r:id="rId10">
              <w:r w:rsidRPr="00E32FF6">
                <w:rPr>
                  <w:rFonts w:ascii="Times New Roman" w:eastAsia="Times New Roman" w:hAnsi="Times New Roman" w:cs="Times New Roman"/>
                  <w:i/>
                  <w:iCs/>
                  <w:sz w:val="20"/>
                  <w:szCs w:val="20"/>
                  <w:u w:val="single"/>
                </w:rPr>
                <w:t>fela.dafitri@fkip.unsika.ac.id</w:t>
              </w:r>
            </w:hyperlink>
            <w:r w:rsidRPr="00E32FF6">
              <w:rPr>
                <w:rFonts w:ascii="Times New Roman" w:eastAsia="Times New Roman" w:hAnsi="Times New Roman" w:cs="Times New Roman"/>
                <w:i/>
                <w:iCs/>
                <w:color w:val="000000"/>
                <w:sz w:val="20"/>
                <w:szCs w:val="20"/>
              </w:rPr>
              <w:t>²</w:t>
            </w:r>
          </w:p>
          <w:p w14:paraId="5C0076A5" w14:textId="77777777" w:rsidR="00E32FF6" w:rsidRPr="00E32FF6" w:rsidRDefault="00E32FF6" w:rsidP="00E32FF6">
            <w:pPr>
              <w:pBdr>
                <w:top w:val="nil"/>
                <w:left w:val="nil"/>
                <w:bottom w:val="nil"/>
                <w:right w:val="nil"/>
                <w:between w:val="nil"/>
              </w:pBdr>
              <w:ind w:firstLine="0"/>
              <w:jc w:val="left"/>
              <w:rPr>
                <w:rFonts w:ascii="Times New Roman" w:eastAsia="Times New Roman" w:hAnsi="Times New Roman" w:cs="Times New Roman"/>
                <w:i/>
                <w:iCs/>
                <w:sz w:val="20"/>
                <w:szCs w:val="20"/>
              </w:rPr>
            </w:pPr>
            <w:r w:rsidRPr="00E32FF6">
              <w:rPr>
                <w:rFonts w:ascii="Times New Roman" w:eastAsia="Times New Roman" w:hAnsi="Times New Roman" w:cs="Times New Roman"/>
                <w:i/>
                <w:iCs/>
                <w:color w:val="000000"/>
                <w:sz w:val="20"/>
                <w:szCs w:val="20"/>
              </w:rPr>
              <w:t>e-mail:</w:t>
            </w:r>
            <w:r w:rsidRPr="00E32FF6">
              <w:rPr>
                <w:rFonts w:ascii="Times New Roman" w:hAnsi="Times New Roman" w:cs="Times New Roman"/>
                <w:sz w:val="20"/>
                <w:szCs w:val="20"/>
              </w:rPr>
              <w:t xml:space="preserve"> </w:t>
            </w:r>
            <w:hyperlink r:id="rId11" w:history="1">
              <w:r w:rsidRPr="00E32FF6">
                <w:rPr>
                  <w:rStyle w:val="Hyperlink"/>
                  <w:rFonts w:ascii="Times New Roman" w:eastAsia="Times New Roman" w:hAnsi="Times New Roman" w:cs="Times New Roman"/>
                  <w:i/>
                  <w:iCs/>
                  <w:color w:val="auto"/>
                  <w:sz w:val="20"/>
                  <w:szCs w:val="20"/>
                </w:rPr>
                <w:t>yousef.baniahmad@fkip.unsika.ac.id</w:t>
              </w:r>
            </w:hyperlink>
            <w:r w:rsidRPr="00E32FF6">
              <w:rPr>
                <w:rFonts w:ascii="Times New Roman" w:eastAsia="Times New Roman" w:hAnsi="Times New Roman" w:cs="Times New Roman"/>
                <w:i/>
                <w:iCs/>
                <w:sz w:val="20"/>
                <w:szCs w:val="20"/>
              </w:rPr>
              <w:t>³</w:t>
            </w:r>
          </w:p>
          <w:p w14:paraId="5FA3E423" w14:textId="115CA377" w:rsidR="00E32FF6" w:rsidRPr="00E32FF6" w:rsidRDefault="00E32FF6" w:rsidP="00E32FF6">
            <w:pPr>
              <w:pBdr>
                <w:top w:val="nil"/>
                <w:left w:val="nil"/>
                <w:bottom w:val="nil"/>
                <w:right w:val="nil"/>
                <w:between w:val="nil"/>
              </w:pBdr>
              <w:ind w:firstLine="0"/>
              <w:jc w:val="left"/>
              <w:rPr>
                <w:rFonts w:ascii="Times New Roman" w:eastAsia="Times New Roman" w:hAnsi="Times New Roman" w:cs="Times New Roman"/>
                <w:i/>
                <w:iCs/>
                <w:color w:val="000000"/>
                <w:sz w:val="20"/>
                <w:szCs w:val="20"/>
              </w:rPr>
            </w:pPr>
          </w:p>
        </w:tc>
      </w:tr>
      <w:tr w:rsidR="00780386" w14:paraId="5AFAA263" w14:textId="77777777">
        <w:trPr>
          <w:trHeight w:val="1939"/>
        </w:trPr>
        <w:tc>
          <w:tcPr>
            <w:tcW w:w="2978" w:type="dxa"/>
            <w:vMerge/>
            <w:shd w:val="clear" w:color="auto" w:fill="4B4D4F"/>
          </w:tcPr>
          <w:p w14:paraId="559CBA5B" w14:textId="77777777" w:rsidR="00780386" w:rsidRDefault="00780386">
            <w:pPr>
              <w:widowControl w:val="0"/>
              <w:pBdr>
                <w:top w:val="nil"/>
                <w:left w:val="nil"/>
                <w:bottom w:val="nil"/>
                <w:right w:val="nil"/>
                <w:between w:val="nil"/>
              </w:pBdr>
              <w:spacing w:line="276" w:lineRule="auto"/>
              <w:ind w:firstLine="0"/>
              <w:jc w:val="left"/>
              <w:rPr>
                <w:rFonts w:ascii="Times New Roman" w:eastAsia="Times New Roman" w:hAnsi="Times New Roman" w:cs="Times New Roman"/>
                <w:i/>
                <w:iCs/>
                <w:color w:val="000000"/>
                <w:sz w:val="20"/>
                <w:szCs w:val="20"/>
              </w:rPr>
            </w:pPr>
          </w:p>
        </w:tc>
        <w:tc>
          <w:tcPr>
            <w:tcW w:w="283" w:type="dxa"/>
          </w:tcPr>
          <w:p w14:paraId="78A6279F" w14:textId="77777777" w:rsidR="00780386" w:rsidRDefault="00780386">
            <w:pPr>
              <w:ind w:firstLine="0"/>
              <w:rPr>
                <w:rFonts w:ascii="Times New Roman" w:eastAsia="Times New Roman" w:hAnsi="Times New Roman" w:cs="Times New Roman"/>
                <w:i/>
                <w:iCs/>
                <w:color w:val="000000"/>
                <w:sz w:val="10"/>
                <w:szCs w:val="10"/>
              </w:rPr>
            </w:pPr>
          </w:p>
        </w:tc>
        <w:tc>
          <w:tcPr>
            <w:tcW w:w="5810" w:type="dxa"/>
            <w:tcBorders>
              <w:top w:val="single" w:sz="18" w:space="0" w:color="FADF70"/>
            </w:tcBorders>
          </w:tcPr>
          <w:p w14:paraId="194AF48D" w14:textId="77777777" w:rsidR="00780386" w:rsidRDefault="00C443EB">
            <w:pPr>
              <w:ind w:firstLine="0"/>
              <w:rPr>
                <w:color w:val="000000"/>
                <w:sz w:val="18"/>
                <w:szCs w:val="18"/>
              </w:rPr>
            </w:pPr>
            <w:r>
              <w:rPr>
                <w:rFonts w:ascii="Times New Roman" w:eastAsia="Times New Roman" w:hAnsi="Times New Roman" w:cs="Times New Roman"/>
                <w:b/>
                <w:bCs/>
                <w:color w:val="000000"/>
                <w:sz w:val="18"/>
                <w:szCs w:val="18"/>
              </w:rPr>
              <w:t xml:space="preserve">Abstract: </w:t>
            </w:r>
            <w:r>
              <w:rPr>
                <w:rFonts w:ascii="Times New Roman" w:eastAsia="Times New Roman" w:hAnsi="Times New Roman" w:cs="Times New Roman"/>
                <w:color w:val="000000"/>
                <w:sz w:val="18"/>
                <w:szCs w:val="18"/>
              </w:rPr>
              <w:t>Teaching English vocabulary is essential for preparing vocational school students to communicate in workplace settings. This study aimed to explore teachers’ vocabulary teaching strategies, the challenges they encountered, and how they addressed them. A qualitative case study design was employed involving two English teachers in Vocational High School in Karawang. Data were collected through classroom observations and semi-structured interviews and analyzed using thematic analysis. The findings revealed that teachers applied various strategies, including direct translation, repetition, memorization, role play, hangman games, differentiated learning, and social emotional learning activities. These strategies encouraged student engagement and supported vocabulary learning in a vocational context. However, teachers faced challenges related to maintaining students’ attention, differences in learning abilities, and students’ reliance on mobile phones and AI-generated answers. To address these issues, teachers simplified materials, provided relevant examples, used step-by-step explanations, and designed activities that encouraged independent thinking. The study highlights the importance of flexible vocabulary instruction in vocational education.</w:t>
            </w:r>
          </w:p>
          <w:p w14:paraId="6B948D60" w14:textId="77777777" w:rsidR="00780386" w:rsidRDefault="00C443EB">
            <w:pPr>
              <w:ind w:left="2160" w:firstLine="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3D009901" w14:textId="77777777" w:rsidR="00780386" w:rsidRDefault="00C443EB">
            <w:pPr>
              <w:pBdr>
                <w:top w:val="nil"/>
                <w:left w:val="nil"/>
                <w:bottom w:val="nil"/>
                <w:right w:val="nil"/>
                <w:between w:val="nil"/>
              </w:pBdr>
              <w:ind w:firstLine="0"/>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18"/>
                <w:szCs w:val="18"/>
              </w:rPr>
              <w:t xml:space="preserve">Keywords: </w:t>
            </w:r>
            <w:r>
              <w:rPr>
                <w:rFonts w:ascii="Times New Roman" w:eastAsia="Times New Roman" w:hAnsi="Times New Roman" w:cs="Times New Roman"/>
                <w:color w:val="000000"/>
                <w:sz w:val="18"/>
                <w:szCs w:val="18"/>
              </w:rPr>
              <w:t>vocabulary mastery; teacher strategies; teacher challenges; vocabulary teaching strategies; vocational high school.</w:t>
            </w:r>
          </w:p>
        </w:tc>
      </w:tr>
      <w:tr w:rsidR="00780386" w14:paraId="68041B18" w14:textId="77777777">
        <w:trPr>
          <w:trHeight w:val="124"/>
        </w:trPr>
        <w:tc>
          <w:tcPr>
            <w:tcW w:w="2978" w:type="dxa"/>
            <w:vMerge/>
            <w:shd w:val="clear" w:color="auto" w:fill="4B4D4F"/>
          </w:tcPr>
          <w:p w14:paraId="5C34A6CD" w14:textId="77777777" w:rsidR="00780386" w:rsidRDefault="00780386">
            <w:pPr>
              <w:widowControl w:val="0"/>
              <w:pBdr>
                <w:top w:val="nil"/>
                <w:left w:val="nil"/>
                <w:bottom w:val="nil"/>
                <w:right w:val="nil"/>
                <w:between w:val="nil"/>
              </w:pBdr>
              <w:spacing w:line="276" w:lineRule="auto"/>
              <w:ind w:firstLine="0"/>
              <w:jc w:val="left"/>
              <w:rPr>
                <w:rFonts w:ascii="Times New Roman" w:eastAsia="Times New Roman" w:hAnsi="Times New Roman" w:cs="Times New Roman"/>
                <w:b/>
                <w:bCs/>
                <w:color w:val="000000"/>
                <w:sz w:val="20"/>
                <w:szCs w:val="20"/>
              </w:rPr>
            </w:pPr>
          </w:p>
        </w:tc>
        <w:tc>
          <w:tcPr>
            <w:tcW w:w="283" w:type="dxa"/>
          </w:tcPr>
          <w:p w14:paraId="6AEFE375" w14:textId="77777777" w:rsidR="00780386" w:rsidRDefault="00780386">
            <w:pPr>
              <w:ind w:firstLine="0"/>
              <w:rPr>
                <w:rFonts w:ascii="Palatino Linotype" w:eastAsia="Palatino Linotype" w:hAnsi="Palatino Linotype" w:cs="Palatino Linotype"/>
                <w:color w:val="000000"/>
                <w:sz w:val="10"/>
                <w:szCs w:val="10"/>
              </w:rPr>
            </w:pPr>
          </w:p>
        </w:tc>
        <w:tc>
          <w:tcPr>
            <w:tcW w:w="5810" w:type="dxa"/>
            <w:tcBorders>
              <w:bottom w:val="single" w:sz="18" w:space="0" w:color="FADF70"/>
            </w:tcBorders>
          </w:tcPr>
          <w:p w14:paraId="0FF5E94E" w14:textId="77777777" w:rsidR="00780386" w:rsidRDefault="00780386">
            <w:pPr>
              <w:ind w:firstLine="0"/>
              <w:rPr>
                <w:rFonts w:ascii="Palatino Linotype" w:eastAsia="Palatino Linotype" w:hAnsi="Palatino Linotype" w:cs="Palatino Linotype"/>
                <w:b/>
                <w:bCs/>
                <w:color w:val="000000"/>
                <w:sz w:val="10"/>
                <w:szCs w:val="10"/>
              </w:rPr>
            </w:pPr>
          </w:p>
        </w:tc>
      </w:tr>
      <w:tr w:rsidR="00780386" w14:paraId="7E788201" w14:textId="77777777">
        <w:trPr>
          <w:trHeight w:val="832"/>
        </w:trPr>
        <w:tc>
          <w:tcPr>
            <w:tcW w:w="2978" w:type="dxa"/>
            <w:vMerge/>
            <w:shd w:val="clear" w:color="auto" w:fill="4B4D4F"/>
          </w:tcPr>
          <w:p w14:paraId="009045AF" w14:textId="77777777" w:rsidR="00780386" w:rsidRDefault="00780386">
            <w:pPr>
              <w:widowControl w:val="0"/>
              <w:pBdr>
                <w:top w:val="nil"/>
                <w:left w:val="nil"/>
                <w:bottom w:val="nil"/>
                <w:right w:val="nil"/>
                <w:between w:val="nil"/>
              </w:pBdr>
              <w:spacing w:line="276" w:lineRule="auto"/>
              <w:ind w:firstLine="0"/>
              <w:jc w:val="left"/>
              <w:rPr>
                <w:rFonts w:ascii="Palatino Linotype" w:eastAsia="Palatino Linotype" w:hAnsi="Palatino Linotype" w:cs="Palatino Linotype"/>
                <w:b/>
                <w:bCs/>
                <w:color w:val="000000"/>
                <w:sz w:val="10"/>
                <w:szCs w:val="10"/>
              </w:rPr>
            </w:pPr>
          </w:p>
        </w:tc>
        <w:tc>
          <w:tcPr>
            <w:tcW w:w="283" w:type="dxa"/>
          </w:tcPr>
          <w:p w14:paraId="39CDF582" w14:textId="77777777" w:rsidR="00780386" w:rsidRDefault="00780386">
            <w:pPr>
              <w:ind w:firstLine="0"/>
              <w:rPr>
                <w:rFonts w:ascii="Palatino Linotype" w:eastAsia="Palatino Linotype" w:hAnsi="Palatino Linotype" w:cs="Palatino Linotype"/>
                <w:color w:val="000000"/>
                <w:sz w:val="10"/>
                <w:szCs w:val="10"/>
              </w:rPr>
            </w:pPr>
          </w:p>
        </w:tc>
        <w:tc>
          <w:tcPr>
            <w:tcW w:w="5810" w:type="dxa"/>
            <w:tcBorders>
              <w:top w:val="single" w:sz="18" w:space="0" w:color="FADF70"/>
            </w:tcBorders>
          </w:tcPr>
          <w:p w14:paraId="2D505924" w14:textId="77777777" w:rsidR="00780386" w:rsidRPr="00B77FFA" w:rsidRDefault="00C443EB" w:rsidP="00B77FFA">
            <w:pPr>
              <w:ind w:firstLine="0"/>
              <w:rPr>
                <w:rFonts w:ascii="Palatino Linotype" w:eastAsia="Times New Roman" w:hAnsi="Palatino Linotype" w:cs="Times New Roman"/>
                <w:b/>
                <w:bCs/>
                <w:color w:val="000000"/>
                <w:sz w:val="20"/>
                <w:szCs w:val="20"/>
              </w:rPr>
            </w:pPr>
            <w:r w:rsidRPr="00B77FFA">
              <w:rPr>
                <w:rFonts w:ascii="Palatino Linotype" w:eastAsia="Times New Roman" w:hAnsi="Palatino Linotype" w:cs="Times New Roman"/>
                <w:b/>
                <w:bCs/>
                <w:color w:val="000000"/>
                <w:sz w:val="20"/>
                <w:szCs w:val="20"/>
              </w:rPr>
              <w:t>EKSPLORASI STRATEGI GURU DALAM MENGAJAR KOSAKATA BAHASA INGGRIS DI SEKOLAH MENENGAH KEJURUAN DI KARAWANG</w:t>
            </w:r>
          </w:p>
        </w:tc>
      </w:tr>
      <w:tr w:rsidR="00780386" w14:paraId="1D48D721" w14:textId="77777777">
        <w:trPr>
          <w:trHeight w:val="70"/>
        </w:trPr>
        <w:tc>
          <w:tcPr>
            <w:tcW w:w="2978" w:type="dxa"/>
            <w:vMerge/>
            <w:shd w:val="clear" w:color="auto" w:fill="4B4D4F"/>
          </w:tcPr>
          <w:p w14:paraId="70206EF3" w14:textId="77777777" w:rsidR="00780386" w:rsidRDefault="00780386">
            <w:pPr>
              <w:widowControl w:val="0"/>
              <w:pBdr>
                <w:top w:val="nil"/>
                <w:left w:val="nil"/>
                <w:bottom w:val="nil"/>
                <w:right w:val="nil"/>
                <w:between w:val="nil"/>
              </w:pBdr>
              <w:spacing w:line="276" w:lineRule="auto"/>
              <w:ind w:firstLine="0"/>
              <w:jc w:val="left"/>
              <w:rPr>
                <w:rFonts w:ascii="Times New Roman" w:eastAsia="Times New Roman" w:hAnsi="Times New Roman" w:cs="Times New Roman"/>
                <w:b/>
                <w:bCs/>
                <w:color w:val="000000"/>
                <w:sz w:val="24"/>
                <w:szCs w:val="24"/>
              </w:rPr>
            </w:pPr>
          </w:p>
        </w:tc>
        <w:tc>
          <w:tcPr>
            <w:tcW w:w="283" w:type="dxa"/>
          </w:tcPr>
          <w:p w14:paraId="274D5398" w14:textId="77777777" w:rsidR="00780386" w:rsidRDefault="00780386">
            <w:pPr>
              <w:ind w:firstLine="0"/>
              <w:rPr>
                <w:rFonts w:ascii="Palatino Linotype" w:eastAsia="Palatino Linotype" w:hAnsi="Palatino Linotype" w:cs="Palatino Linotype"/>
                <w:color w:val="000000"/>
                <w:sz w:val="10"/>
                <w:szCs w:val="10"/>
              </w:rPr>
            </w:pPr>
          </w:p>
        </w:tc>
        <w:tc>
          <w:tcPr>
            <w:tcW w:w="5810" w:type="dxa"/>
            <w:tcBorders>
              <w:bottom w:val="single" w:sz="18" w:space="0" w:color="FADF70"/>
            </w:tcBorders>
          </w:tcPr>
          <w:p w14:paraId="5C8CB6AC" w14:textId="77777777" w:rsidR="00780386" w:rsidRDefault="00780386">
            <w:pPr>
              <w:ind w:firstLine="0"/>
              <w:rPr>
                <w:rFonts w:ascii="Palatino Linotype" w:eastAsia="Palatino Linotype" w:hAnsi="Palatino Linotype" w:cs="Palatino Linotype"/>
                <w:b/>
                <w:bCs/>
                <w:color w:val="000000"/>
                <w:sz w:val="10"/>
                <w:szCs w:val="10"/>
              </w:rPr>
            </w:pPr>
          </w:p>
        </w:tc>
      </w:tr>
      <w:tr w:rsidR="00780386" w14:paraId="3567FCC3" w14:textId="77777777">
        <w:trPr>
          <w:trHeight w:val="2142"/>
        </w:trPr>
        <w:tc>
          <w:tcPr>
            <w:tcW w:w="2978" w:type="dxa"/>
            <w:vMerge/>
            <w:shd w:val="clear" w:color="auto" w:fill="4B4D4F"/>
          </w:tcPr>
          <w:p w14:paraId="0E71BD05" w14:textId="77777777" w:rsidR="00780386" w:rsidRDefault="00780386">
            <w:pPr>
              <w:widowControl w:val="0"/>
              <w:pBdr>
                <w:top w:val="nil"/>
                <w:left w:val="nil"/>
                <w:bottom w:val="nil"/>
                <w:right w:val="nil"/>
                <w:between w:val="nil"/>
              </w:pBdr>
              <w:spacing w:line="276" w:lineRule="auto"/>
              <w:ind w:firstLine="0"/>
              <w:jc w:val="left"/>
              <w:rPr>
                <w:rFonts w:ascii="Palatino Linotype" w:eastAsia="Palatino Linotype" w:hAnsi="Palatino Linotype" w:cs="Palatino Linotype"/>
                <w:b/>
                <w:bCs/>
                <w:color w:val="000000"/>
                <w:sz w:val="10"/>
                <w:szCs w:val="10"/>
              </w:rPr>
            </w:pPr>
          </w:p>
        </w:tc>
        <w:tc>
          <w:tcPr>
            <w:tcW w:w="283" w:type="dxa"/>
          </w:tcPr>
          <w:p w14:paraId="3C6D2CDA" w14:textId="77777777" w:rsidR="00780386" w:rsidRDefault="00780386">
            <w:pPr>
              <w:ind w:firstLine="0"/>
              <w:rPr>
                <w:rFonts w:ascii="Times New Roman" w:eastAsia="Times New Roman" w:hAnsi="Times New Roman" w:cs="Times New Roman"/>
                <w:color w:val="000000"/>
                <w:sz w:val="10"/>
                <w:szCs w:val="10"/>
              </w:rPr>
            </w:pPr>
          </w:p>
        </w:tc>
        <w:tc>
          <w:tcPr>
            <w:tcW w:w="5810" w:type="dxa"/>
            <w:tcBorders>
              <w:top w:val="single" w:sz="18" w:space="0" w:color="FADF70"/>
              <w:bottom w:val="single" w:sz="18" w:space="0" w:color="FADF70"/>
            </w:tcBorders>
          </w:tcPr>
          <w:p w14:paraId="435E7E56" w14:textId="77777777" w:rsidR="00780386" w:rsidRDefault="00C443EB">
            <w:pPr>
              <w:ind w:firstLine="0"/>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b/>
                <w:bCs/>
                <w:color w:val="000000"/>
                <w:sz w:val="18"/>
                <w:szCs w:val="18"/>
              </w:rPr>
              <w:t>Abstrak</w:t>
            </w:r>
            <w:proofErr w:type="spellEnd"/>
            <w:r>
              <w:rPr>
                <w:rFonts w:ascii="Times New Roman" w:eastAsia="Times New Roman" w:hAnsi="Times New Roman" w:cs="Times New Roman"/>
                <w:b/>
                <w:bCs/>
                <w:color w:val="000000"/>
                <w:sz w:val="18"/>
                <w:szCs w:val="18"/>
              </w:rPr>
              <w:t>:</w:t>
            </w:r>
            <w:r>
              <w:rPr>
                <w:rFonts w:ascii="Times New Roman" w:eastAsia="Times New Roman" w:hAnsi="Times New Roman" w:cs="Times New Roman"/>
                <w:color w:val="000000"/>
                <w:sz w:val="18"/>
                <w:szCs w:val="18"/>
              </w:rPr>
              <w:t xml:space="preserve"> Pengajaran </w:t>
            </w:r>
            <w:proofErr w:type="spellStart"/>
            <w:r>
              <w:rPr>
                <w:rFonts w:ascii="Times New Roman" w:eastAsia="Times New Roman" w:hAnsi="Times New Roman" w:cs="Times New Roman"/>
                <w:color w:val="000000"/>
                <w:sz w:val="18"/>
                <w:szCs w:val="18"/>
              </w:rPr>
              <w:t>kosakata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bahasa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Inggris</w:t>
            </w:r>
            <w:proofErr w:type="spellEnd"/>
            <w:r>
              <w:rPr>
                <w:rFonts w:ascii="Times New Roman" w:eastAsia="Times New Roman" w:hAnsi="Times New Roman" w:cs="Times New Roman"/>
                <w:color w:val="000000"/>
                <w:sz w:val="18"/>
                <w:szCs w:val="18"/>
              </w:rPr>
              <w:t xml:space="preserve"> sangat </w:t>
            </w:r>
            <w:proofErr w:type="spellStart"/>
            <w:r>
              <w:rPr>
                <w:rFonts w:ascii="Times New Roman" w:eastAsia="Times New Roman" w:hAnsi="Times New Roman" w:cs="Times New Roman"/>
                <w:color w:val="000000"/>
                <w:sz w:val="18"/>
                <w:szCs w:val="18"/>
              </w:rPr>
              <w:t>penting</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untuk</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mempersiapkan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siswa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sekolah</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kejuruan</w:t>
            </w:r>
            <w:proofErr w:type="spellEnd"/>
            <w:r>
              <w:rPr>
                <w:rFonts w:ascii="Times New Roman" w:eastAsia="Times New Roman" w:hAnsi="Times New Roman" w:cs="Times New Roman"/>
                <w:color w:val="000000"/>
                <w:sz w:val="18"/>
                <w:szCs w:val="18"/>
              </w:rPr>
              <w:t xml:space="preserve"> agar </w:t>
            </w:r>
            <w:proofErr w:type="spellStart"/>
            <w:r>
              <w:rPr>
                <w:rFonts w:ascii="Times New Roman" w:eastAsia="Times New Roman" w:hAnsi="Times New Roman" w:cs="Times New Roman"/>
                <w:color w:val="000000"/>
                <w:sz w:val="18"/>
                <w:szCs w:val="18"/>
              </w:rPr>
              <w:t>dapat</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berkomunikasi</w:t>
            </w:r>
            <w:proofErr w:type="spellEnd"/>
            <w:r>
              <w:rPr>
                <w:rFonts w:ascii="Times New Roman" w:eastAsia="Times New Roman" w:hAnsi="Times New Roman" w:cs="Times New Roman"/>
                <w:color w:val="000000"/>
                <w:sz w:val="18"/>
                <w:szCs w:val="18"/>
              </w:rPr>
              <w:t xml:space="preserve"> di </w:t>
            </w:r>
            <w:proofErr w:type="spellStart"/>
            <w:r>
              <w:rPr>
                <w:rFonts w:ascii="Times New Roman" w:eastAsia="Times New Roman" w:hAnsi="Times New Roman" w:cs="Times New Roman"/>
                <w:color w:val="000000"/>
                <w:sz w:val="18"/>
                <w:szCs w:val="18"/>
              </w:rPr>
              <w:t>lingkungan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kerja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Penelitian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ini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bertujuan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untuk</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mengeksplorasi</w:t>
            </w:r>
            <w:proofErr w:type="spellEnd"/>
            <w:r>
              <w:rPr>
                <w:rFonts w:ascii="Times New Roman" w:eastAsia="Times New Roman" w:hAnsi="Times New Roman" w:cs="Times New Roman"/>
                <w:color w:val="000000"/>
                <w:sz w:val="18"/>
                <w:szCs w:val="18"/>
              </w:rPr>
              <w:t xml:space="preserve"> strategi </w:t>
            </w:r>
            <w:proofErr w:type="spellStart"/>
            <w:r>
              <w:rPr>
                <w:rFonts w:ascii="Times New Roman" w:eastAsia="Times New Roman" w:hAnsi="Times New Roman" w:cs="Times New Roman"/>
                <w:color w:val="000000"/>
                <w:sz w:val="18"/>
                <w:szCs w:val="18"/>
              </w:rPr>
              <w:t>pengajaran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kosakata</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digunakan</w:t>
            </w:r>
            <w:proofErr w:type="spellEnd"/>
            <w:r>
              <w:rPr>
                <w:rFonts w:ascii="Times New Roman" w:eastAsia="Times New Roman" w:hAnsi="Times New Roman" w:cs="Times New Roman"/>
                <w:color w:val="000000"/>
                <w:sz w:val="18"/>
                <w:szCs w:val="18"/>
              </w:rPr>
              <w:t xml:space="preserve"> guru, </w:t>
            </w:r>
            <w:proofErr w:type="spellStart"/>
            <w:r>
              <w:rPr>
                <w:rFonts w:ascii="Times New Roman" w:eastAsia="Times New Roman" w:hAnsi="Times New Roman" w:cs="Times New Roman"/>
                <w:color w:val="000000"/>
                <w:sz w:val="18"/>
                <w:szCs w:val="18"/>
              </w:rPr>
              <w:t>tantangan</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mereka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hadapi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serta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cara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mereka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mengatasinya</w:t>
            </w:r>
            <w:proofErr w:type="spellEnd"/>
            <w:r>
              <w:rPr>
                <w:rFonts w:ascii="Times New Roman" w:eastAsia="Times New Roman" w:hAnsi="Times New Roman" w:cs="Times New Roman"/>
                <w:color w:val="000000"/>
                <w:sz w:val="18"/>
                <w:szCs w:val="18"/>
              </w:rPr>
              <w:t xml:space="preserve">. Desain </w:t>
            </w:r>
            <w:proofErr w:type="spellStart"/>
            <w:r>
              <w:rPr>
                <w:rFonts w:ascii="Times New Roman" w:eastAsia="Times New Roman" w:hAnsi="Times New Roman" w:cs="Times New Roman"/>
                <w:color w:val="000000"/>
                <w:sz w:val="18"/>
                <w:szCs w:val="18"/>
              </w:rPr>
              <w:t>studi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kasus</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kualitatif</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digunakan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dengan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melibatkan</w:t>
            </w:r>
            <w:proofErr w:type="spellEnd"/>
            <w:r>
              <w:rPr>
                <w:rFonts w:ascii="Times New Roman" w:eastAsia="Times New Roman" w:hAnsi="Times New Roman" w:cs="Times New Roman"/>
                <w:color w:val="000000"/>
                <w:sz w:val="18"/>
                <w:szCs w:val="18"/>
              </w:rPr>
              <w:t xml:space="preserve"> dua guru </w:t>
            </w:r>
            <w:proofErr w:type="spellStart"/>
            <w:r>
              <w:rPr>
                <w:rFonts w:ascii="Times New Roman" w:eastAsia="Times New Roman" w:hAnsi="Times New Roman" w:cs="Times New Roman"/>
                <w:color w:val="000000"/>
                <w:sz w:val="18"/>
                <w:szCs w:val="18"/>
              </w:rPr>
              <w:t>bahasa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Inggris</w:t>
            </w:r>
            <w:proofErr w:type="spellEnd"/>
            <w:r>
              <w:rPr>
                <w:rFonts w:ascii="Times New Roman" w:eastAsia="Times New Roman" w:hAnsi="Times New Roman" w:cs="Times New Roman"/>
                <w:color w:val="000000"/>
                <w:sz w:val="18"/>
                <w:szCs w:val="18"/>
              </w:rPr>
              <w:t xml:space="preserve">. Data </w:t>
            </w:r>
            <w:proofErr w:type="spellStart"/>
            <w:r>
              <w:rPr>
                <w:rFonts w:ascii="Times New Roman" w:eastAsia="Times New Roman" w:hAnsi="Times New Roman" w:cs="Times New Roman"/>
                <w:color w:val="000000"/>
                <w:sz w:val="18"/>
                <w:szCs w:val="18"/>
              </w:rPr>
              <w:t>dikumpulkan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melalui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observasi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kelas</w:t>
            </w:r>
            <w:proofErr w:type="spellEnd"/>
            <w:r>
              <w:rPr>
                <w:rFonts w:ascii="Times New Roman" w:eastAsia="Times New Roman" w:hAnsi="Times New Roman" w:cs="Times New Roman"/>
                <w:color w:val="000000"/>
                <w:sz w:val="18"/>
                <w:szCs w:val="18"/>
              </w:rPr>
              <w:t xml:space="preserve"> dan </w:t>
            </w:r>
            <w:proofErr w:type="spellStart"/>
            <w:r>
              <w:rPr>
                <w:rFonts w:ascii="Times New Roman" w:eastAsia="Times New Roman" w:hAnsi="Times New Roman" w:cs="Times New Roman"/>
                <w:color w:val="000000"/>
                <w:sz w:val="18"/>
                <w:szCs w:val="18"/>
              </w:rPr>
              <w:t>wawancara</w:t>
            </w:r>
            <w:proofErr w:type="spellEnd"/>
            <w:r>
              <w:rPr>
                <w:rFonts w:ascii="Times New Roman" w:eastAsia="Times New Roman" w:hAnsi="Times New Roman" w:cs="Times New Roman"/>
                <w:color w:val="000000"/>
                <w:sz w:val="18"/>
                <w:szCs w:val="18"/>
              </w:rPr>
              <w:t xml:space="preserve"> semi-</w:t>
            </w:r>
            <w:proofErr w:type="spellStart"/>
            <w:r>
              <w:rPr>
                <w:rFonts w:ascii="Times New Roman" w:eastAsia="Times New Roman" w:hAnsi="Times New Roman" w:cs="Times New Roman"/>
                <w:color w:val="000000"/>
                <w:sz w:val="18"/>
                <w:szCs w:val="18"/>
              </w:rPr>
              <w:t>terstruktur</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kemudian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dianalisis</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menggunakan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analisis</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tematik</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Temuan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penelitian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menunjukkan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bahwa</w:t>
            </w:r>
            <w:proofErr w:type="spellEnd"/>
            <w:r>
              <w:rPr>
                <w:rFonts w:ascii="Times New Roman" w:eastAsia="Times New Roman" w:hAnsi="Times New Roman" w:cs="Times New Roman"/>
                <w:color w:val="000000"/>
                <w:sz w:val="18"/>
                <w:szCs w:val="18"/>
              </w:rPr>
              <w:t xml:space="preserve"> guru </w:t>
            </w:r>
            <w:proofErr w:type="spellStart"/>
            <w:r>
              <w:rPr>
                <w:rFonts w:ascii="Times New Roman" w:eastAsia="Times New Roman" w:hAnsi="Times New Roman" w:cs="Times New Roman"/>
                <w:color w:val="000000"/>
                <w:sz w:val="18"/>
                <w:szCs w:val="18"/>
              </w:rPr>
              <w:t>menerapkan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berbagai</w:t>
            </w:r>
            <w:proofErr w:type="spellEnd"/>
            <w:r>
              <w:rPr>
                <w:rFonts w:ascii="Times New Roman" w:eastAsia="Times New Roman" w:hAnsi="Times New Roman" w:cs="Times New Roman"/>
                <w:color w:val="000000"/>
                <w:sz w:val="18"/>
                <w:szCs w:val="18"/>
              </w:rPr>
              <w:t xml:space="preserve"> strategi, </w:t>
            </w:r>
            <w:proofErr w:type="spellStart"/>
            <w:r>
              <w:rPr>
                <w:rFonts w:ascii="Times New Roman" w:eastAsia="Times New Roman" w:hAnsi="Times New Roman" w:cs="Times New Roman"/>
                <w:color w:val="000000"/>
                <w:sz w:val="18"/>
                <w:szCs w:val="18"/>
              </w:rPr>
              <w:t>termasuk</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terjemahan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langsung</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pengulangan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menghafal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permainan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peran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permainan</w:t>
            </w:r>
            <w:proofErr w:type="spellEnd"/>
            <w:r>
              <w:rPr>
                <w:rFonts w:ascii="Times New Roman" w:eastAsia="Times New Roman" w:hAnsi="Times New Roman" w:cs="Times New Roman"/>
                <w:color w:val="000000"/>
                <w:sz w:val="18"/>
                <w:szCs w:val="18"/>
              </w:rPr>
              <w:t xml:space="preserve"> Hangman, </w:t>
            </w:r>
            <w:proofErr w:type="spellStart"/>
            <w:r>
              <w:rPr>
                <w:rFonts w:ascii="Times New Roman" w:eastAsia="Times New Roman" w:hAnsi="Times New Roman" w:cs="Times New Roman"/>
                <w:color w:val="000000"/>
                <w:sz w:val="18"/>
                <w:szCs w:val="18"/>
              </w:rPr>
              <w:t>pembelajaran</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dibedakan</w:t>
            </w:r>
            <w:proofErr w:type="spellEnd"/>
            <w:r>
              <w:rPr>
                <w:rFonts w:ascii="Times New Roman" w:eastAsia="Times New Roman" w:hAnsi="Times New Roman" w:cs="Times New Roman"/>
                <w:color w:val="000000"/>
                <w:sz w:val="18"/>
                <w:szCs w:val="18"/>
              </w:rPr>
              <w:t xml:space="preserve">, dan </w:t>
            </w:r>
            <w:proofErr w:type="spellStart"/>
            <w:r>
              <w:rPr>
                <w:rFonts w:ascii="Times New Roman" w:eastAsia="Times New Roman" w:hAnsi="Times New Roman" w:cs="Times New Roman"/>
                <w:color w:val="000000"/>
                <w:sz w:val="18"/>
                <w:szCs w:val="18"/>
              </w:rPr>
              <w:t>kegiatan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pembelajaran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sosial-emosional</w:t>
            </w:r>
            <w:proofErr w:type="spellEnd"/>
            <w:r>
              <w:rPr>
                <w:rFonts w:ascii="Times New Roman" w:eastAsia="Times New Roman" w:hAnsi="Times New Roman" w:cs="Times New Roman"/>
                <w:color w:val="000000"/>
                <w:sz w:val="18"/>
                <w:szCs w:val="18"/>
              </w:rPr>
              <w:t xml:space="preserve">. Strategi-strategi </w:t>
            </w:r>
            <w:proofErr w:type="spellStart"/>
            <w:r>
              <w:rPr>
                <w:rFonts w:ascii="Times New Roman" w:eastAsia="Times New Roman" w:hAnsi="Times New Roman" w:cs="Times New Roman"/>
                <w:color w:val="000000"/>
                <w:sz w:val="18"/>
                <w:szCs w:val="18"/>
              </w:rPr>
              <w:t>ini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meningkatkan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keterlibatan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siswa</w:t>
            </w:r>
            <w:proofErr w:type="spellEnd"/>
            <w:r>
              <w:rPr>
                <w:rFonts w:ascii="Times New Roman" w:eastAsia="Times New Roman" w:hAnsi="Times New Roman" w:cs="Times New Roman"/>
                <w:color w:val="000000"/>
                <w:sz w:val="18"/>
                <w:szCs w:val="18"/>
              </w:rPr>
              <w:t xml:space="preserve"> dan </w:t>
            </w:r>
            <w:proofErr w:type="spellStart"/>
            <w:r>
              <w:rPr>
                <w:rFonts w:ascii="Times New Roman" w:eastAsia="Times New Roman" w:hAnsi="Times New Roman" w:cs="Times New Roman"/>
                <w:color w:val="000000"/>
                <w:sz w:val="18"/>
                <w:szCs w:val="18"/>
              </w:rPr>
              <w:t>mendukung</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pembelajaran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kosakata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lastRenderedPageBreak/>
              <w:t>dalam</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konteks</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bermakna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Namun</w:t>
            </w:r>
            <w:proofErr w:type="spellEnd"/>
            <w:r>
              <w:rPr>
                <w:rFonts w:ascii="Times New Roman" w:eastAsia="Times New Roman" w:hAnsi="Times New Roman" w:cs="Times New Roman"/>
                <w:color w:val="000000"/>
                <w:sz w:val="18"/>
                <w:szCs w:val="18"/>
              </w:rPr>
              <w:t xml:space="preserve">, guru </w:t>
            </w:r>
            <w:proofErr w:type="spellStart"/>
            <w:r>
              <w:rPr>
                <w:rFonts w:ascii="Times New Roman" w:eastAsia="Times New Roman" w:hAnsi="Times New Roman" w:cs="Times New Roman"/>
                <w:color w:val="000000"/>
                <w:sz w:val="18"/>
                <w:szCs w:val="18"/>
              </w:rPr>
              <w:t>menghadapi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tantangan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terkait</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mempertahankan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perhatian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siswa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perbedaan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kemampuan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belajar</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serta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ketergantungan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siswa</w:t>
            </w:r>
            <w:proofErr w:type="spellEnd"/>
            <w:r>
              <w:rPr>
                <w:rFonts w:ascii="Times New Roman" w:eastAsia="Times New Roman" w:hAnsi="Times New Roman" w:cs="Times New Roman"/>
                <w:color w:val="000000"/>
                <w:sz w:val="18"/>
                <w:szCs w:val="18"/>
              </w:rPr>
              <w:t xml:space="preserve"> pada </w:t>
            </w:r>
            <w:proofErr w:type="spellStart"/>
            <w:r>
              <w:rPr>
                <w:rFonts w:ascii="Times New Roman" w:eastAsia="Times New Roman" w:hAnsi="Times New Roman" w:cs="Times New Roman"/>
                <w:color w:val="000000"/>
                <w:sz w:val="18"/>
                <w:szCs w:val="18"/>
              </w:rPr>
              <w:t>ponsel</w:t>
            </w:r>
            <w:proofErr w:type="spellEnd"/>
            <w:r>
              <w:rPr>
                <w:rFonts w:ascii="Times New Roman" w:eastAsia="Times New Roman" w:hAnsi="Times New Roman" w:cs="Times New Roman"/>
                <w:color w:val="000000"/>
                <w:sz w:val="18"/>
                <w:szCs w:val="18"/>
              </w:rPr>
              <w:t xml:space="preserve"> dan </w:t>
            </w:r>
            <w:proofErr w:type="spellStart"/>
            <w:r>
              <w:rPr>
                <w:rFonts w:ascii="Times New Roman" w:eastAsia="Times New Roman" w:hAnsi="Times New Roman" w:cs="Times New Roman"/>
                <w:color w:val="000000"/>
                <w:sz w:val="18"/>
                <w:szCs w:val="18"/>
              </w:rPr>
              <w:t>jawaban</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dihasilkan</w:t>
            </w:r>
            <w:proofErr w:type="spellEnd"/>
            <w:r>
              <w:rPr>
                <w:rFonts w:ascii="Times New Roman" w:eastAsia="Times New Roman" w:hAnsi="Times New Roman" w:cs="Times New Roman"/>
                <w:color w:val="000000"/>
                <w:sz w:val="18"/>
                <w:szCs w:val="18"/>
              </w:rPr>
              <w:t xml:space="preserve"> oleh </w:t>
            </w:r>
            <w:proofErr w:type="spellStart"/>
            <w:r>
              <w:rPr>
                <w:rFonts w:ascii="Times New Roman" w:eastAsia="Times New Roman" w:hAnsi="Times New Roman" w:cs="Times New Roman"/>
                <w:color w:val="000000"/>
                <w:sz w:val="18"/>
                <w:szCs w:val="18"/>
              </w:rPr>
              <w:t>kecerdasan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buatan</w:t>
            </w:r>
            <w:proofErr w:type="spellEnd"/>
            <w:r>
              <w:rPr>
                <w:rFonts w:ascii="Times New Roman" w:eastAsia="Times New Roman" w:hAnsi="Times New Roman" w:cs="Times New Roman"/>
                <w:color w:val="000000"/>
                <w:sz w:val="18"/>
                <w:szCs w:val="18"/>
              </w:rPr>
              <w:t xml:space="preserve"> (AI). </w:t>
            </w:r>
            <w:proofErr w:type="spellStart"/>
            <w:r>
              <w:rPr>
                <w:rFonts w:ascii="Times New Roman" w:eastAsia="Times New Roman" w:hAnsi="Times New Roman" w:cs="Times New Roman"/>
                <w:color w:val="000000"/>
                <w:sz w:val="18"/>
                <w:szCs w:val="18"/>
              </w:rPr>
              <w:t>Untuk</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mengatasi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masalah</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ini</w:t>
            </w:r>
            <w:proofErr w:type="spellEnd"/>
            <w:r>
              <w:rPr>
                <w:rFonts w:ascii="Times New Roman" w:eastAsia="Times New Roman" w:hAnsi="Times New Roman" w:cs="Times New Roman"/>
                <w:color w:val="000000"/>
                <w:sz w:val="18"/>
                <w:szCs w:val="18"/>
              </w:rPr>
              <w:t xml:space="preserve">, para guru </w:t>
            </w:r>
            <w:proofErr w:type="spellStart"/>
            <w:r>
              <w:rPr>
                <w:rFonts w:ascii="Times New Roman" w:eastAsia="Times New Roman" w:hAnsi="Times New Roman" w:cs="Times New Roman"/>
                <w:color w:val="000000"/>
                <w:sz w:val="18"/>
                <w:szCs w:val="18"/>
              </w:rPr>
              <w:t>menyederhanakan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materi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memberikan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contoh</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relevan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menggunakan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penjelasan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langkah</w:t>
            </w:r>
            <w:proofErr w:type="spellEnd"/>
            <w:r>
              <w:rPr>
                <w:rFonts w:ascii="Times New Roman" w:eastAsia="Times New Roman" w:hAnsi="Times New Roman" w:cs="Times New Roman"/>
                <w:color w:val="000000"/>
                <w:sz w:val="18"/>
                <w:szCs w:val="18"/>
              </w:rPr>
              <w:t xml:space="preserve"> demi </w:t>
            </w:r>
            <w:proofErr w:type="spellStart"/>
            <w:r>
              <w:rPr>
                <w:rFonts w:ascii="Times New Roman" w:eastAsia="Times New Roman" w:hAnsi="Times New Roman" w:cs="Times New Roman"/>
                <w:color w:val="000000"/>
                <w:sz w:val="18"/>
                <w:szCs w:val="18"/>
              </w:rPr>
              <w:t>langkah</w:t>
            </w:r>
            <w:proofErr w:type="spellEnd"/>
            <w:r>
              <w:rPr>
                <w:rFonts w:ascii="Times New Roman" w:eastAsia="Times New Roman" w:hAnsi="Times New Roman" w:cs="Times New Roman"/>
                <w:color w:val="000000"/>
                <w:sz w:val="18"/>
                <w:szCs w:val="18"/>
              </w:rPr>
              <w:t xml:space="preserve">, dan </w:t>
            </w:r>
            <w:proofErr w:type="spellStart"/>
            <w:r>
              <w:rPr>
                <w:rFonts w:ascii="Times New Roman" w:eastAsia="Times New Roman" w:hAnsi="Times New Roman" w:cs="Times New Roman"/>
                <w:color w:val="000000"/>
                <w:sz w:val="18"/>
                <w:szCs w:val="18"/>
              </w:rPr>
              <w:t>merancang</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kegiatan</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mendorong</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pemikiran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mandiri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Penelitian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ini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menyoroti</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pentingnya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pengajaran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kosakata</w:t>
            </w:r>
            <w:proofErr w:type="spellEnd"/>
            <w:r>
              <w:rPr>
                <w:rFonts w:ascii="Times New Roman" w:eastAsia="Times New Roman" w:hAnsi="Times New Roman" w:cs="Times New Roman"/>
                <w:color w:val="000000"/>
                <w:sz w:val="18"/>
                <w:szCs w:val="18"/>
              </w:rPr>
              <w:t xml:space="preserve"> yang </w:t>
            </w:r>
            <w:proofErr w:type="spellStart"/>
            <w:r>
              <w:rPr>
                <w:rFonts w:ascii="Times New Roman" w:eastAsia="Times New Roman" w:hAnsi="Times New Roman" w:cs="Times New Roman"/>
                <w:color w:val="000000"/>
                <w:sz w:val="18"/>
                <w:szCs w:val="18"/>
              </w:rPr>
              <w:t>fleksibel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dalam</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pendidikan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kejuruan</w:t>
            </w:r>
            <w:proofErr w:type="spellEnd"/>
            <w:r>
              <w:rPr>
                <w:rFonts w:ascii="Times New Roman" w:eastAsia="Times New Roman" w:hAnsi="Times New Roman" w:cs="Times New Roman"/>
                <w:color w:val="000000"/>
                <w:sz w:val="18"/>
                <w:szCs w:val="18"/>
              </w:rPr>
              <w:t xml:space="preserve">. </w:t>
            </w:r>
          </w:p>
          <w:p w14:paraId="1B218C9A" w14:textId="77777777" w:rsidR="00780386" w:rsidRDefault="00780386">
            <w:pPr>
              <w:ind w:left="2160" w:firstLine="0"/>
              <w:rPr>
                <w:rFonts w:ascii="Times New Roman" w:eastAsia="Times New Roman" w:hAnsi="Times New Roman" w:cs="Times New Roman"/>
                <w:color w:val="000000"/>
                <w:sz w:val="18"/>
                <w:szCs w:val="18"/>
              </w:rPr>
            </w:pPr>
          </w:p>
          <w:p w14:paraId="711B9DE0" w14:textId="77777777" w:rsidR="00780386" w:rsidRDefault="00C443EB">
            <w:pPr>
              <w:ind w:firstLine="0"/>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 xml:space="preserve">Kata </w:t>
            </w:r>
            <w:proofErr w:type="spellStart"/>
            <w:r>
              <w:rPr>
                <w:rFonts w:ascii="Times New Roman" w:eastAsia="Times New Roman" w:hAnsi="Times New Roman" w:cs="Times New Roman"/>
                <w:b/>
                <w:bCs/>
                <w:color w:val="000000"/>
                <w:sz w:val="18"/>
                <w:szCs w:val="18"/>
              </w:rPr>
              <w:t>kunci</w:t>
            </w:r>
            <w:proofErr w:type="spellEnd"/>
            <w:r>
              <w:rPr>
                <w:rFonts w:ascii="Times New Roman" w:eastAsia="Times New Roman" w:hAnsi="Times New Roman" w:cs="Times New Roman"/>
                <w:b/>
                <w:bCs/>
                <w:color w:val="000000"/>
                <w:sz w:val="18"/>
                <w:szCs w:val="18"/>
              </w:rPr>
              <w:t xml:space="preserve">: </w:t>
            </w:r>
            <w:proofErr w:type="spellStart"/>
            <w:r>
              <w:rPr>
                <w:rFonts w:ascii="Times New Roman" w:eastAsia="Times New Roman" w:hAnsi="Times New Roman" w:cs="Times New Roman"/>
                <w:color w:val="000000"/>
                <w:sz w:val="18"/>
                <w:szCs w:val="18"/>
              </w:rPr>
              <w:t>penguasaan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kosakata</w:t>
            </w:r>
            <w:proofErr w:type="spellEnd"/>
            <w:r>
              <w:rPr>
                <w:rFonts w:ascii="Times New Roman" w:eastAsia="Times New Roman" w:hAnsi="Times New Roman" w:cs="Times New Roman"/>
                <w:color w:val="000000"/>
                <w:sz w:val="18"/>
                <w:szCs w:val="18"/>
              </w:rPr>
              <w:t xml:space="preserve">; strategi guru; </w:t>
            </w:r>
            <w:proofErr w:type="spellStart"/>
            <w:r>
              <w:rPr>
                <w:rFonts w:ascii="Times New Roman" w:eastAsia="Times New Roman" w:hAnsi="Times New Roman" w:cs="Times New Roman"/>
                <w:color w:val="000000"/>
                <w:sz w:val="18"/>
                <w:szCs w:val="18"/>
              </w:rPr>
              <w:t>tantangan</w:t>
            </w:r>
            <w:proofErr w:type="spellEnd"/>
            <w:r>
              <w:rPr>
                <w:rFonts w:ascii="Times New Roman" w:eastAsia="Times New Roman" w:hAnsi="Times New Roman" w:cs="Times New Roman"/>
                <w:color w:val="000000"/>
                <w:sz w:val="18"/>
                <w:szCs w:val="18"/>
              </w:rPr>
              <w:t xml:space="preserve"> guru; strategi </w:t>
            </w:r>
            <w:proofErr w:type="spellStart"/>
            <w:r>
              <w:rPr>
                <w:rFonts w:ascii="Times New Roman" w:eastAsia="Times New Roman" w:hAnsi="Times New Roman" w:cs="Times New Roman"/>
                <w:color w:val="000000"/>
                <w:sz w:val="18"/>
                <w:szCs w:val="18"/>
              </w:rPr>
              <w:t>pengajaran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kosakata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sekolah</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menengah</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kejuruan</w:t>
            </w:r>
            <w:proofErr w:type="spellEnd"/>
            <w:r>
              <w:rPr>
                <w:rFonts w:ascii="Times New Roman" w:eastAsia="Times New Roman" w:hAnsi="Times New Roman" w:cs="Times New Roman"/>
                <w:color w:val="000000"/>
                <w:sz w:val="18"/>
                <w:szCs w:val="18"/>
              </w:rPr>
              <w:t>.</w:t>
            </w:r>
          </w:p>
          <w:p w14:paraId="4B84817A" w14:textId="77777777" w:rsidR="00780386" w:rsidRDefault="00780386">
            <w:pPr>
              <w:ind w:firstLine="0"/>
              <w:rPr>
                <w:rFonts w:ascii="Palatino Linotype" w:eastAsia="Palatino Linotype" w:hAnsi="Palatino Linotype" w:cs="Palatino Linotype"/>
                <w:b/>
                <w:bCs/>
                <w:color w:val="000000"/>
                <w:sz w:val="20"/>
                <w:szCs w:val="20"/>
              </w:rPr>
            </w:pPr>
          </w:p>
        </w:tc>
      </w:tr>
    </w:tbl>
    <w:p w14:paraId="71589DB4" w14:textId="77777777" w:rsidR="00780386" w:rsidRDefault="00C443EB">
      <w:pPr>
        <w:pBdr>
          <w:top w:val="nil"/>
          <w:left w:val="nil"/>
          <w:bottom w:val="nil"/>
          <w:right w:val="nil"/>
          <w:between w:val="nil"/>
        </w:pBdr>
        <w:ind w:left="1593" w:firstLine="0"/>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ab/>
      </w:r>
    </w:p>
    <w:p w14:paraId="6FA6EC90" w14:textId="77777777" w:rsidR="00780386" w:rsidRDefault="00780386">
      <w:pPr>
        <w:ind w:firstLine="0"/>
        <w:rPr>
          <w:rFonts w:ascii="Times New Roman" w:eastAsia="Times New Roman" w:hAnsi="Times New Roman" w:cs="Times New Roman"/>
          <w:color w:val="000000"/>
          <w:sz w:val="20"/>
          <w:szCs w:val="20"/>
        </w:rPr>
      </w:pPr>
    </w:p>
    <w:p w14:paraId="71CE38FC" w14:textId="77777777" w:rsidR="00780386" w:rsidRDefault="00C443EB">
      <w:pPr>
        <w:ind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0F6D1250" w14:textId="77777777" w:rsidR="00780386" w:rsidRDefault="00C443EB">
      <w:pPr>
        <w:pBdr>
          <w:top w:val="nil"/>
          <w:left w:val="nil"/>
          <w:bottom w:val="none" w:sz="0" w:space="0" w:color="000000"/>
          <w:right w:val="nil"/>
          <w:between w:val="nil"/>
        </w:pBdr>
        <w:spacing w:after="120"/>
        <w:ind w:firstLine="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INTRODUCTION</w:t>
      </w:r>
    </w:p>
    <w:p w14:paraId="666436CA" w14:textId="77777777" w:rsidR="00780386" w:rsidRDefault="00C443EB">
      <w:pPr>
        <w:ind w:firstLine="0"/>
        <w:rPr>
          <w:rFonts w:ascii="Times New Roman" w:eastAsia="Times New Roman" w:hAnsi="Times New Roman" w:cs="Times New Roman"/>
        </w:rPr>
      </w:pPr>
      <w:r>
        <w:rPr>
          <w:rFonts w:ascii="Times New Roman" w:eastAsia="Times New Roman" w:hAnsi="Times New Roman" w:cs="Times New Roman"/>
        </w:rPr>
        <w:t xml:space="preserve">English is a commonly spoken language in many countries around the world and plays an important role as an international communication tool and is applied in several fields, including education. In the Indonesian curriculum, English is taught as a foreign language. There are four main skills in learning English: speaking, listening, writing, and reading. In mastering these skills, there are three main aspects, namely pronunciation, grammar, and vocabulary, in which vocabulary is one of the most important aspects in the process of learning a language (Cameron, 2001). As highlighted by Kamil and Hiebert (2005), vocabulary reflects students' ability to understand the meaning of words; it also involves the ability to use the words in real-life contexts. This is aligned with Vocational High School (VHS) students that prioritize practice instead of theory, such as applying classroom learning or communication. </w:t>
      </w:r>
    </w:p>
    <w:p w14:paraId="2D96D846" w14:textId="77777777" w:rsidR="00780386" w:rsidRDefault="00C443EB">
      <w:pPr>
        <w:ind w:firstLine="566"/>
        <w:rPr>
          <w:rFonts w:ascii="Times New Roman" w:eastAsia="Times New Roman" w:hAnsi="Times New Roman" w:cs="Times New Roman"/>
        </w:rPr>
      </w:pPr>
      <w:r>
        <w:rPr>
          <w:rFonts w:ascii="Times New Roman" w:eastAsia="Times New Roman" w:hAnsi="Times New Roman" w:cs="Times New Roman"/>
        </w:rPr>
        <w:t>Teaching English vocabulary to VHS students has a significant role in preparing the students to be skilled in the workforce. Based on Law No. 20 of 2003, section 15, VHS differs from general education because this institution aims to prepare students for work readiness based on their fields (</w:t>
      </w:r>
      <w:proofErr w:type="spellStart"/>
      <w:r>
        <w:rPr>
          <w:rFonts w:ascii="Times New Roman" w:eastAsia="Times New Roman" w:hAnsi="Times New Roman" w:cs="Times New Roman"/>
        </w:rPr>
        <w:t>Apriliana</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Basikin</w:t>
      </w:r>
      <w:proofErr w:type="spellEnd"/>
      <w:r>
        <w:rPr>
          <w:rFonts w:ascii="Times New Roman" w:eastAsia="Times New Roman" w:hAnsi="Times New Roman" w:cs="Times New Roman"/>
        </w:rPr>
        <w:t>, 2021). Therefore, English teaching in VHS must be adjusted to students' majors in terms of material and learning strategy. English learning in VHS includes English for General Purposes (EGP) and English for Specific Purposes (ESP) (</w:t>
      </w:r>
      <w:proofErr w:type="spellStart"/>
      <w:r>
        <w:rPr>
          <w:rFonts w:ascii="Times New Roman" w:eastAsia="Times New Roman" w:hAnsi="Times New Roman" w:cs="Times New Roman"/>
        </w:rPr>
        <w:t>Dikstaal</w:t>
      </w:r>
      <w:proofErr w:type="spellEnd"/>
      <w:r>
        <w:rPr>
          <w:rFonts w:ascii="Times New Roman" w:eastAsia="Times New Roman" w:hAnsi="Times New Roman" w:cs="Times New Roman"/>
        </w:rPr>
        <w:t xml:space="preserve">, 2021). Where the ESP is more focused on the specific needs of students' fields so that language can be applied directly in the workplace (Hutchinson &amp; Waters, 1987; Muhammad &amp; Utami, 2023; </w:t>
      </w:r>
      <w:proofErr w:type="spellStart"/>
      <w:r>
        <w:rPr>
          <w:rFonts w:ascii="Times New Roman" w:eastAsia="Times New Roman" w:hAnsi="Times New Roman" w:cs="Times New Roman"/>
        </w:rPr>
        <w:t>Fadlia</w:t>
      </w:r>
      <w:proofErr w:type="spellEnd"/>
      <w:r>
        <w:rPr>
          <w:rFonts w:ascii="Times New Roman" w:eastAsia="Times New Roman" w:hAnsi="Times New Roman" w:cs="Times New Roman"/>
        </w:rPr>
        <w:t xml:space="preserve"> et al., 2020; </w:t>
      </w:r>
      <w:proofErr w:type="spellStart"/>
      <w:r>
        <w:rPr>
          <w:rFonts w:ascii="Times New Roman" w:eastAsia="Times New Roman" w:hAnsi="Times New Roman" w:cs="Times New Roman"/>
        </w:rPr>
        <w:t>Juita</w:t>
      </w:r>
      <w:proofErr w:type="spellEnd"/>
      <w:r>
        <w:rPr>
          <w:rFonts w:ascii="Times New Roman" w:eastAsia="Times New Roman" w:hAnsi="Times New Roman" w:cs="Times New Roman"/>
        </w:rPr>
        <w:t>, 2023). This is why learning and mastery of vocabulary become crucial to VHS students and must be aligned to their interests to support them in being more prepared in both classroom learning and the workplace.</w:t>
      </w:r>
    </w:p>
    <w:p w14:paraId="60624551" w14:textId="77777777" w:rsidR="0054257C" w:rsidRDefault="00C443EB" w:rsidP="0054257C">
      <w:pPr>
        <w:ind w:firstLine="566"/>
        <w:rPr>
          <w:rFonts w:ascii="Times New Roman" w:eastAsia="Times New Roman" w:hAnsi="Times New Roman" w:cs="Times New Roman"/>
        </w:rPr>
      </w:pPr>
      <w:r>
        <w:rPr>
          <w:rFonts w:ascii="Times New Roman" w:eastAsia="Times New Roman" w:hAnsi="Times New Roman" w:cs="Times New Roman"/>
        </w:rPr>
        <w:t xml:space="preserve">Despite its importance, many teachers still face challenges in teaching vocabulary. The teacher often struggles to select the appropriate vocabulary because the abilities of students are varied, while the students tend to be passive, noisy, and have difficulty understanding the words' meanings (Gulo, 2024). Moreover, similar to Utomo et al. (2020), other difficulties are also affected by the limitations of teaching materials, the lack of teachers' technological skills, low learning motivation, and lack of parental support. Besides the teacher, the students also encounter difficulties such as pronouncing English sounds, spelling, recalling long vocabulary, and comprehending the meaning of words (Salam &amp; </w:t>
      </w:r>
      <w:proofErr w:type="spellStart"/>
      <w:r>
        <w:rPr>
          <w:rFonts w:ascii="Times New Roman" w:eastAsia="Times New Roman" w:hAnsi="Times New Roman" w:cs="Times New Roman"/>
        </w:rPr>
        <w:t>Nurnisa</w:t>
      </w:r>
      <w:proofErr w:type="spellEnd"/>
      <w:r>
        <w:rPr>
          <w:rFonts w:ascii="Times New Roman" w:eastAsia="Times New Roman" w:hAnsi="Times New Roman" w:cs="Times New Roman"/>
        </w:rPr>
        <w:t>, 2021). However, the teacher must initially identify the most significant factors that affect the students’ learning process (</w:t>
      </w:r>
      <w:proofErr w:type="spellStart"/>
      <w:r>
        <w:rPr>
          <w:rFonts w:ascii="Times New Roman" w:eastAsia="Times New Roman" w:hAnsi="Times New Roman" w:cs="Times New Roman"/>
        </w:rPr>
        <w:t>Pakpahan</w:t>
      </w:r>
      <w:proofErr w:type="spellEnd"/>
      <w:r>
        <w:rPr>
          <w:rFonts w:ascii="Times New Roman" w:eastAsia="Times New Roman" w:hAnsi="Times New Roman" w:cs="Times New Roman"/>
        </w:rPr>
        <w:t xml:space="preserve"> et al., 2024)</w:t>
      </w:r>
    </w:p>
    <w:p w14:paraId="468B8EE9" w14:textId="0CB64325" w:rsidR="00780386" w:rsidRDefault="00C443EB" w:rsidP="0054257C">
      <w:pPr>
        <w:ind w:firstLine="566"/>
        <w:rPr>
          <w:rFonts w:ascii="Times New Roman" w:eastAsia="Times New Roman" w:hAnsi="Times New Roman" w:cs="Times New Roman"/>
        </w:rPr>
      </w:pPr>
      <w:r>
        <w:rPr>
          <w:rFonts w:ascii="Times New Roman" w:eastAsia="Times New Roman" w:hAnsi="Times New Roman" w:cs="Times New Roman"/>
        </w:rPr>
        <w:t xml:space="preserve">These issues need to be addressed, where teachers should understand the students' struggles and select effective teaching strategies. In order to ensure </w:t>
      </w:r>
      <w:r w:rsidR="0054257C">
        <w:rPr>
          <w:rFonts w:ascii="Times New Roman" w:eastAsia="Times New Roman" w:hAnsi="Times New Roman" w:cs="Times New Roman"/>
        </w:rPr>
        <w:t>students,</w:t>
      </w:r>
      <w:r>
        <w:rPr>
          <w:rFonts w:ascii="Times New Roman" w:eastAsia="Times New Roman" w:hAnsi="Times New Roman" w:cs="Times New Roman"/>
        </w:rPr>
        <w:t xml:space="preserve"> comprehend the materials and enjoy the learning process, teachers must have a good understanding of the material, develop the appropriate materials, and use the most effective strategies (</w:t>
      </w:r>
      <w:proofErr w:type="spellStart"/>
      <w:r>
        <w:rPr>
          <w:rFonts w:ascii="Times New Roman" w:eastAsia="Times New Roman" w:hAnsi="Times New Roman" w:cs="Times New Roman"/>
        </w:rPr>
        <w:t>Elhamdi</w:t>
      </w:r>
      <w:proofErr w:type="spellEnd"/>
      <w:r>
        <w:rPr>
          <w:rFonts w:ascii="Times New Roman" w:eastAsia="Times New Roman" w:hAnsi="Times New Roman" w:cs="Times New Roman"/>
        </w:rPr>
        <w:t xml:space="preserve"> &amp; Hezam, 2020). Several strategies can be applied, including communicative learning (Nasser &amp; Mahmoud, 2022), which fosters discussion to create a relaxed classroom environment, and intensive listening (Putri et al., 2023), which enriches students' vocabulary through audios with interesting topics. Besides, </w:t>
      </w:r>
      <w:proofErr w:type="spellStart"/>
      <w:r>
        <w:rPr>
          <w:rFonts w:ascii="Times New Roman" w:eastAsia="Times New Roman" w:hAnsi="Times New Roman" w:cs="Times New Roman"/>
        </w:rPr>
        <w:t>Farahdiba</w:t>
      </w:r>
      <w:proofErr w:type="spellEnd"/>
      <w:r>
        <w:rPr>
          <w:rFonts w:ascii="Times New Roman" w:eastAsia="Times New Roman" w:hAnsi="Times New Roman" w:cs="Times New Roman"/>
        </w:rPr>
        <w:t xml:space="preserve"> et al. (2024) mentioned </w:t>
      </w:r>
      <w:r>
        <w:rPr>
          <w:rFonts w:ascii="Times New Roman" w:eastAsia="Times New Roman" w:hAnsi="Times New Roman" w:cs="Times New Roman"/>
        </w:rPr>
        <w:lastRenderedPageBreak/>
        <w:t>that there are three main strategies in vocabulary teaching: determination (self-learning), social (involving teachers and friends), and memory (remembering vocabulary). Additionally, the game-based application can also enhance students' interest in and enthusiasm for learning.</w:t>
      </w:r>
    </w:p>
    <w:p w14:paraId="72F66D70" w14:textId="078200EB" w:rsidR="00780386" w:rsidRDefault="00C443EB">
      <w:pPr>
        <w:ind w:firstLine="566"/>
        <w:rPr>
          <w:rFonts w:ascii="Times New Roman" w:eastAsia="Times New Roman" w:hAnsi="Times New Roman" w:cs="Times New Roman"/>
        </w:rPr>
      </w:pPr>
      <w:r>
        <w:rPr>
          <w:rFonts w:ascii="Times New Roman" w:eastAsia="Times New Roman" w:hAnsi="Times New Roman" w:cs="Times New Roman"/>
        </w:rPr>
        <w:t xml:space="preserve">Many studies have explored teaching strategies for teaching vocabulary. For instance, Nurislam et al. (2023) analyzed the types of strategies used by English-teaching junior high school students. The result showed teachers used flash cards, games, word walls, memorization, translation, and pictures. This study highlighted flashcards and pictures are the most commonly used strategies by junior high school teachers. Similarly, </w:t>
      </w:r>
      <w:proofErr w:type="spellStart"/>
      <w:r>
        <w:rPr>
          <w:rFonts w:ascii="Times New Roman" w:eastAsia="Times New Roman" w:hAnsi="Times New Roman" w:cs="Times New Roman"/>
        </w:rPr>
        <w:t>Gultom</w:t>
      </w:r>
      <w:proofErr w:type="spellEnd"/>
      <w:r>
        <w:rPr>
          <w:rFonts w:ascii="Times New Roman" w:eastAsia="Times New Roman" w:hAnsi="Times New Roman" w:cs="Times New Roman"/>
        </w:rPr>
        <w:t xml:space="preserve"> et al. (2022) explored the strategies used by junior high school teachers; the result indicated teachers used translation, games, a dictionary, and stories to teach vocabulary. It showed that translation is the most frequently used strategy by the teacher. Additionally, Jamal et al. (2025) examined the vocabulary teaching strategies used by teachers of elementary school. The study showed that contextual translation is the most commonly used by the teachers. These studies show that much of the previous research examined the strategies used by the teachers to teach vocabulary; however, there are still few studies that focus on vocational high school. Vocational school students are required to learn vocabulary in line with their field of study and the workplace. Therefore, it is important to examine the difficulties faced by teachers and students in learning vocabulary, which are rarely discussed in depth, particularly how to overcome these difficulties. This research aims to explore what strategies teachers use in teaching vocabulary in VHS, what challenges they face, and how they overcome these challenges so that learning is more effective and in line with students' needs.</w:t>
      </w:r>
    </w:p>
    <w:p w14:paraId="72D157FF" w14:textId="77777777" w:rsidR="00780386" w:rsidRDefault="00780386">
      <w:pPr>
        <w:ind w:firstLine="0"/>
        <w:rPr>
          <w:rFonts w:ascii="Times New Roman" w:eastAsia="Times New Roman" w:hAnsi="Times New Roman" w:cs="Times New Roman"/>
        </w:rPr>
      </w:pPr>
    </w:p>
    <w:p w14:paraId="6429CAA5" w14:textId="77777777" w:rsidR="00780386" w:rsidRDefault="00C443EB">
      <w:pPr>
        <w:pBdr>
          <w:top w:val="nil"/>
          <w:left w:val="nil"/>
          <w:bottom w:val="none" w:sz="0" w:space="0" w:color="000000"/>
          <w:right w:val="nil"/>
          <w:between w:val="nil"/>
        </w:pBdr>
        <w:spacing w:before="240" w:after="240"/>
        <w:ind w:firstLine="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RESEARCH METHOD </w:t>
      </w:r>
      <w:r>
        <w:rPr>
          <w:rFonts w:ascii="Times New Roman" w:eastAsia="Times New Roman" w:hAnsi="Times New Roman" w:cs="Times New Roman"/>
          <w:b/>
          <w:bCs/>
          <w:color w:val="000000"/>
          <w:sz w:val="24"/>
          <w:szCs w:val="24"/>
        </w:rPr>
        <w:tab/>
      </w:r>
    </w:p>
    <w:p w14:paraId="32500345" w14:textId="77777777" w:rsidR="00780386" w:rsidRDefault="00C443EB">
      <w:pPr>
        <w:ind w:firstLine="0"/>
        <w:rPr>
          <w:rFonts w:ascii="Times New Roman" w:eastAsia="Times New Roman" w:hAnsi="Times New Roman" w:cs="Times New Roman"/>
        </w:rPr>
      </w:pPr>
      <w:r>
        <w:rPr>
          <w:rFonts w:ascii="Times New Roman" w:eastAsia="Times New Roman" w:hAnsi="Times New Roman" w:cs="Times New Roman"/>
        </w:rPr>
        <w:t>This research used a qualitative approach and case study design to gain an in-depth understanding of teachers' experiences in the classroom process. It was conducted at Vocational High School Bina Karya 2 Karawang in West Java during the 2024/2025 academic year and involved two English teachers as the participants. Data were collected through classroom observations and semi-structured interviews. Classroom observations were conducted to explore the strategies used by teachers in teaching vocabulary and the learning media used, as well as to note classroom behaviors and interactions relevant to the research focus. Following this, semi-structured interviews were conducted to explore teachers' strategies, challenges during the learning process, and how they overcame them. This type of interview was chosen to allow flexibility in adjusting questions and following up on participants' answers to obtain more in-depth data. The collected data were analyzed using thematic analysis based on the procedure outlined by Creswell (2012), which involved identifying patterns and themes for meaningful conclusions.</w:t>
      </w:r>
    </w:p>
    <w:p w14:paraId="429A340D" w14:textId="77777777" w:rsidR="00780386" w:rsidRDefault="00C443EB">
      <w:pPr>
        <w:pBdr>
          <w:top w:val="nil"/>
          <w:left w:val="nil"/>
          <w:bottom w:val="none" w:sz="0" w:space="0" w:color="000000"/>
          <w:right w:val="nil"/>
          <w:between w:val="nil"/>
        </w:pBdr>
        <w:spacing w:before="240" w:after="120"/>
        <w:ind w:firstLine="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RESULTS AND DISCUSSION</w:t>
      </w:r>
    </w:p>
    <w:p w14:paraId="30CBA33A" w14:textId="77777777" w:rsidR="00780386" w:rsidRDefault="00C443EB">
      <w:pPr>
        <w:spacing w:before="240"/>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Characteristics of Students in Strategy Selection</w:t>
      </w:r>
    </w:p>
    <w:p w14:paraId="0F41AD02" w14:textId="77777777" w:rsidR="00780386" w:rsidRDefault="00C443EB">
      <w:pPr>
        <w:ind w:firstLine="0"/>
        <w:rPr>
          <w:rFonts w:ascii="Times New Roman" w:eastAsia="Times New Roman" w:hAnsi="Times New Roman" w:cs="Times New Roman"/>
        </w:rPr>
      </w:pPr>
      <w:r>
        <w:rPr>
          <w:rFonts w:ascii="Times New Roman" w:eastAsia="Times New Roman" w:hAnsi="Times New Roman" w:cs="Times New Roman"/>
        </w:rPr>
        <w:t xml:space="preserve">One of the important aspects considered by teachers in selecting vocabulary teaching strategies was students’ characteristics. Based on interviews and classroom observations, the researcher found that students at SMK Bina Karya 2 Karawang had different characteristics, particularly in learning motivation, learning styles, and English ability levels. Teachers realized that not all students showed the same enthusiasm for learning, and students’ emotional conditions also influenced their participation during classroom activities. This was reflected in the teachers’ statements below: </w:t>
      </w:r>
    </w:p>
    <w:p w14:paraId="6596DD65" w14:textId="77777777" w:rsidR="00780386" w:rsidRDefault="00C443EB">
      <w:pPr>
        <w:spacing w:before="240" w:after="240"/>
        <w:ind w:left="709" w:right="707" w:firstLine="0"/>
        <w:rPr>
          <w:rFonts w:ascii="Times New Roman" w:eastAsia="Times New Roman" w:hAnsi="Times New Roman" w:cs="Times New Roman"/>
          <w:i/>
          <w:iCs/>
        </w:rPr>
      </w:pPr>
      <w:r>
        <w:rPr>
          <w:rFonts w:ascii="Times New Roman" w:eastAsia="Times New Roman" w:hAnsi="Times New Roman" w:cs="Times New Roman"/>
          <w:i/>
          <w:iCs/>
        </w:rPr>
        <w:t>“</w:t>
      </w:r>
      <w:proofErr w:type="spellStart"/>
      <w:r>
        <w:rPr>
          <w:rFonts w:ascii="Times New Roman" w:eastAsia="Times New Roman" w:hAnsi="Times New Roman" w:cs="Times New Roman"/>
          <w:i/>
          <w:iCs/>
        </w:rPr>
        <w:t>Mmm</w:t>
      </w:r>
      <w:proofErr w:type="spellEnd"/>
      <w:r>
        <w:rPr>
          <w:rFonts w:ascii="Times New Roman" w:eastAsia="Times New Roman" w:hAnsi="Times New Roman" w:cs="Times New Roman"/>
          <w:i/>
          <w:iCs/>
        </w:rPr>
        <w:t xml:space="preserve">... it </w:t>
      </w:r>
      <w:r>
        <w:rPr>
          <w:rFonts w:ascii="Times New Roman" w:eastAsia="Times New Roman" w:hAnsi="Times New Roman" w:cs="Times New Roman"/>
          <w:b/>
          <w:bCs/>
          <w:i/>
          <w:iCs/>
        </w:rPr>
        <w:t>varies</w:t>
      </w:r>
      <w:r>
        <w:rPr>
          <w:rFonts w:ascii="Times New Roman" w:eastAsia="Times New Roman" w:hAnsi="Times New Roman" w:cs="Times New Roman"/>
          <w:i/>
          <w:iCs/>
        </w:rPr>
        <w:t xml:space="preserve">, from his </w:t>
      </w:r>
      <w:r>
        <w:rPr>
          <w:rFonts w:ascii="Times New Roman" w:eastAsia="Times New Roman" w:hAnsi="Times New Roman" w:cs="Times New Roman"/>
          <w:b/>
          <w:bCs/>
          <w:i/>
          <w:iCs/>
        </w:rPr>
        <w:t>motivation;</w:t>
      </w:r>
      <w:r>
        <w:rPr>
          <w:rFonts w:ascii="Times New Roman" w:eastAsia="Times New Roman" w:hAnsi="Times New Roman" w:cs="Times New Roman"/>
          <w:i/>
          <w:iCs/>
        </w:rPr>
        <w:t xml:space="preserve"> let's say he's already in a </w:t>
      </w:r>
      <w:r>
        <w:rPr>
          <w:rFonts w:ascii="Times New Roman" w:eastAsia="Times New Roman" w:hAnsi="Times New Roman" w:cs="Times New Roman"/>
          <w:b/>
          <w:bCs/>
          <w:i/>
          <w:iCs/>
        </w:rPr>
        <w:t>bad mood</w:t>
      </w:r>
      <w:r>
        <w:rPr>
          <w:rFonts w:ascii="Times New Roman" w:eastAsia="Times New Roman" w:hAnsi="Times New Roman" w:cs="Times New Roman"/>
          <w:i/>
          <w:iCs/>
        </w:rPr>
        <w:t xml:space="preserve"> from home, it will </w:t>
      </w:r>
      <w:r>
        <w:rPr>
          <w:rFonts w:ascii="Times New Roman" w:eastAsia="Times New Roman" w:hAnsi="Times New Roman" w:cs="Times New Roman"/>
          <w:b/>
          <w:bCs/>
          <w:i/>
          <w:iCs/>
        </w:rPr>
        <w:t>affect</w:t>
      </w:r>
      <w:r>
        <w:rPr>
          <w:rFonts w:ascii="Times New Roman" w:eastAsia="Times New Roman" w:hAnsi="Times New Roman" w:cs="Times New Roman"/>
          <w:i/>
          <w:iCs/>
        </w:rPr>
        <w:t xml:space="preserve"> his </w:t>
      </w:r>
      <w:r>
        <w:rPr>
          <w:rFonts w:ascii="Times New Roman" w:eastAsia="Times New Roman" w:hAnsi="Times New Roman" w:cs="Times New Roman"/>
          <w:b/>
          <w:bCs/>
          <w:i/>
          <w:iCs/>
        </w:rPr>
        <w:t>enthusiasm for learning.</w:t>
      </w:r>
      <w:r>
        <w:rPr>
          <w:rFonts w:ascii="Times New Roman" w:eastAsia="Times New Roman" w:hAnsi="Times New Roman" w:cs="Times New Roman"/>
          <w:i/>
          <w:iCs/>
        </w:rPr>
        <w:t xml:space="preserve">” </w:t>
      </w:r>
      <w:r>
        <w:rPr>
          <w:rFonts w:ascii="Times New Roman" w:eastAsia="Times New Roman" w:hAnsi="Times New Roman" w:cs="Times New Roman"/>
        </w:rPr>
        <w:t>(T1)</w:t>
      </w:r>
    </w:p>
    <w:p w14:paraId="67B86A51" w14:textId="77777777" w:rsidR="00780386" w:rsidRDefault="00C443EB">
      <w:pPr>
        <w:spacing w:before="240" w:after="240"/>
        <w:ind w:left="709" w:right="707" w:firstLine="0"/>
        <w:rPr>
          <w:rFonts w:ascii="Times New Roman" w:eastAsia="Times New Roman" w:hAnsi="Times New Roman" w:cs="Times New Roman"/>
        </w:rPr>
      </w:pPr>
      <w:r>
        <w:rPr>
          <w:rFonts w:ascii="Times New Roman" w:eastAsia="Times New Roman" w:hAnsi="Times New Roman" w:cs="Times New Roman"/>
          <w:i/>
          <w:iCs/>
        </w:rPr>
        <w:lastRenderedPageBreak/>
        <w:t xml:space="preserve">“...as for their </w:t>
      </w:r>
      <w:r>
        <w:rPr>
          <w:rFonts w:ascii="Times New Roman" w:eastAsia="Times New Roman" w:hAnsi="Times New Roman" w:cs="Times New Roman"/>
          <w:b/>
          <w:bCs/>
          <w:i/>
          <w:iCs/>
        </w:rPr>
        <w:t>motivation</w:t>
      </w:r>
      <w:r>
        <w:rPr>
          <w:rFonts w:ascii="Times New Roman" w:eastAsia="Times New Roman" w:hAnsi="Times New Roman" w:cs="Times New Roman"/>
          <w:i/>
          <w:iCs/>
        </w:rPr>
        <w:t xml:space="preserve">, because it is a </w:t>
      </w:r>
      <w:r>
        <w:rPr>
          <w:rFonts w:ascii="Times New Roman" w:eastAsia="Times New Roman" w:hAnsi="Times New Roman" w:cs="Times New Roman"/>
          <w:b/>
          <w:bCs/>
          <w:i/>
          <w:iCs/>
        </w:rPr>
        <w:t>vocational</w:t>
      </w:r>
      <w:r>
        <w:rPr>
          <w:rFonts w:ascii="Times New Roman" w:eastAsia="Times New Roman" w:hAnsi="Times New Roman" w:cs="Times New Roman"/>
          <w:i/>
          <w:iCs/>
        </w:rPr>
        <w:t xml:space="preserve"> </w:t>
      </w:r>
      <w:r>
        <w:rPr>
          <w:rFonts w:ascii="Times New Roman" w:eastAsia="Times New Roman" w:hAnsi="Times New Roman" w:cs="Times New Roman"/>
          <w:b/>
          <w:bCs/>
          <w:i/>
          <w:iCs/>
        </w:rPr>
        <w:t>school</w:t>
      </w:r>
      <w:r>
        <w:rPr>
          <w:rFonts w:ascii="Times New Roman" w:eastAsia="Times New Roman" w:hAnsi="Times New Roman" w:cs="Times New Roman"/>
          <w:i/>
          <w:iCs/>
        </w:rPr>
        <w:t xml:space="preserve">, they </w:t>
      </w:r>
      <w:r>
        <w:rPr>
          <w:rFonts w:ascii="Times New Roman" w:eastAsia="Times New Roman" w:hAnsi="Times New Roman" w:cs="Times New Roman"/>
          <w:b/>
          <w:bCs/>
          <w:i/>
          <w:iCs/>
        </w:rPr>
        <w:t>mostly</w:t>
      </w:r>
      <w:r>
        <w:rPr>
          <w:rFonts w:ascii="Times New Roman" w:eastAsia="Times New Roman" w:hAnsi="Times New Roman" w:cs="Times New Roman"/>
          <w:i/>
          <w:iCs/>
        </w:rPr>
        <w:t xml:space="preserve"> </w:t>
      </w:r>
      <w:r>
        <w:rPr>
          <w:rFonts w:ascii="Times New Roman" w:eastAsia="Times New Roman" w:hAnsi="Times New Roman" w:cs="Times New Roman"/>
          <w:b/>
          <w:bCs/>
          <w:i/>
          <w:iCs/>
        </w:rPr>
        <w:t>lack</w:t>
      </w:r>
      <w:r>
        <w:rPr>
          <w:rFonts w:ascii="Times New Roman" w:eastAsia="Times New Roman" w:hAnsi="Times New Roman" w:cs="Times New Roman"/>
          <w:i/>
          <w:iCs/>
        </w:rPr>
        <w:t xml:space="preserve"> </w:t>
      </w:r>
      <w:r>
        <w:rPr>
          <w:rFonts w:ascii="Times New Roman" w:eastAsia="Times New Roman" w:hAnsi="Times New Roman" w:cs="Times New Roman"/>
          <w:b/>
          <w:bCs/>
          <w:i/>
          <w:iCs/>
        </w:rPr>
        <w:t>motivation</w:t>
      </w:r>
      <w:r>
        <w:rPr>
          <w:rFonts w:ascii="Times New Roman" w:eastAsia="Times New Roman" w:hAnsi="Times New Roman" w:cs="Times New Roman"/>
          <w:i/>
          <w:iCs/>
        </w:rPr>
        <w:t xml:space="preserve">, but </w:t>
      </w:r>
      <w:r>
        <w:rPr>
          <w:rFonts w:ascii="Times New Roman" w:eastAsia="Times New Roman" w:hAnsi="Times New Roman" w:cs="Times New Roman"/>
          <w:b/>
          <w:bCs/>
          <w:i/>
          <w:iCs/>
        </w:rPr>
        <w:t>some</w:t>
      </w:r>
      <w:r>
        <w:rPr>
          <w:rFonts w:ascii="Times New Roman" w:eastAsia="Times New Roman" w:hAnsi="Times New Roman" w:cs="Times New Roman"/>
          <w:i/>
          <w:iCs/>
        </w:rPr>
        <w:t xml:space="preserve"> of them are </w:t>
      </w:r>
      <w:r>
        <w:rPr>
          <w:rFonts w:ascii="Times New Roman" w:eastAsia="Times New Roman" w:hAnsi="Times New Roman" w:cs="Times New Roman"/>
          <w:b/>
          <w:bCs/>
          <w:i/>
          <w:iCs/>
        </w:rPr>
        <w:t>enthusiastic in learning</w:t>
      </w:r>
      <w:r>
        <w:rPr>
          <w:rFonts w:ascii="Times New Roman" w:eastAsia="Times New Roman" w:hAnsi="Times New Roman" w:cs="Times New Roman"/>
          <w:i/>
          <w:iCs/>
        </w:rPr>
        <w:t xml:space="preserve">.” </w:t>
      </w:r>
      <w:r>
        <w:rPr>
          <w:rFonts w:ascii="Times New Roman" w:eastAsia="Times New Roman" w:hAnsi="Times New Roman" w:cs="Times New Roman"/>
        </w:rPr>
        <w:t>(T2)</w:t>
      </w:r>
    </w:p>
    <w:p w14:paraId="28D3A495" w14:textId="77777777" w:rsidR="00780386" w:rsidRDefault="00C443EB">
      <w:pPr>
        <w:rPr>
          <w:rFonts w:ascii="Times New Roman" w:eastAsia="Times New Roman" w:hAnsi="Times New Roman" w:cs="Times New Roman"/>
        </w:rPr>
      </w:pPr>
      <w:bookmarkStart w:id="1" w:name="_heading=h.j53je2976yxw" w:colFirst="0" w:colLast="0"/>
      <w:bookmarkEnd w:id="1"/>
      <w:r>
        <w:rPr>
          <w:rFonts w:ascii="Times New Roman" w:eastAsia="Times New Roman" w:hAnsi="Times New Roman" w:cs="Times New Roman"/>
        </w:rPr>
        <w:t xml:space="preserve">This statement showed that students' motivation in VHS was highly variable and influenced by their emotional and environmental conditions. Teachers realized that student motivation was unpredictable; sometimes students attended class highly enthusiastic, while at other times they lacked interest in learning because they were in negative emotional conditions. Students who came to class in a positive mood were generally more active, passionate, and involved during classroom activities. Meanwhile, students with low motivation were often passive and had difficulty focusing. Classroom observations showed that some students actively participated in answering questions and engaging in classroom activities, while others appeared less focused and required more encouragement from the teacher to stay engaged in the learning process. Therefore, teachers needed to adjust their strategies to suit their students' conditions. It aligned with self-determination theory by Deci and Ryan (1985), which states that students’ motivation is influenced by intrinsic and extrinsic factors. When students’ basic needs, such as autonomy, competence, and social relationships, are adequately fulfilled, their motivation tends to increase. </w:t>
      </w:r>
    </w:p>
    <w:p w14:paraId="5A5DA4F8"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Besides that, teachers also observed variations in students' learning styles. It can be seen from the statement below:</w:t>
      </w:r>
    </w:p>
    <w:p w14:paraId="558EAAD0" w14:textId="77777777" w:rsidR="00780386" w:rsidRDefault="00780386">
      <w:pPr>
        <w:rPr>
          <w:rFonts w:ascii="Times New Roman" w:eastAsia="Times New Roman" w:hAnsi="Times New Roman" w:cs="Times New Roman"/>
        </w:rPr>
      </w:pPr>
    </w:p>
    <w:p w14:paraId="5D3BDCE8" w14:textId="77777777" w:rsidR="00780386" w:rsidRDefault="00C443EB">
      <w:pPr>
        <w:ind w:left="709" w:right="707" w:firstLine="0"/>
        <w:rPr>
          <w:rFonts w:ascii="Times New Roman" w:eastAsia="Times New Roman" w:hAnsi="Times New Roman" w:cs="Times New Roman"/>
        </w:rPr>
      </w:pPr>
      <w:r>
        <w:rPr>
          <w:rFonts w:ascii="Times New Roman" w:eastAsia="Times New Roman" w:hAnsi="Times New Roman" w:cs="Times New Roman"/>
          <w:i/>
          <w:iCs/>
        </w:rPr>
        <w:t>"...Some</w:t>
      </w:r>
      <w:r>
        <w:rPr>
          <w:rFonts w:ascii="Times New Roman" w:eastAsia="Times New Roman" w:hAnsi="Times New Roman" w:cs="Times New Roman"/>
          <w:i/>
          <w:iCs/>
          <w:highlight w:val="white"/>
        </w:rPr>
        <w:t xml:space="preserve"> of them learn by </w:t>
      </w:r>
      <w:r>
        <w:rPr>
          <w:rFonts w:ascii="Times New Roman" w:eastAsia="Times New Roman" w:hAnsi="Times New Roman" w:cs="Times New Roman"/>
          <w:b/>
          <w:bCs/>
          <w:i/>
          <w:iCs/>
          <w:highlight w:val="white"/>
        </w:rPr>
        <w:t>sitting down</w:t>
      </w:r>
      <w:r>
        <w:rPr>
          <w:rFonts w:ascii="Times New Roman" w:eastAsia="Times New Roman" w:hAnsi="Times New Roman" w:cs="Times New Roman"/>
          <w:i/>
          <w:iCs/>
          <w:highlight w:val="white"/>
        </w:rPr>
        <w:t xml:space="preserve">, some of them learn by </w:t>
      </w:r>
      <w:r>
        <w:rPr>
          <w:rFonts w:ascii="Times New Roman" w:eastAsia="Times New Roman" w:hAnsi="Times New Roman" w:cs="Times New Roman"/>
          <w:b/>
          <w:bCs/>
          <w:i/>
          <w:iCs/>
          <w:highlight w:val="white"/>
        </w:rPr>
        <w:t>listening to music</w:t>
      </w:r>
      <w:r>
        <w:rPr>
          <w:rFonts w:ascii="Times New Roman" w:eastAsia="Times New Roman" w:hAnsi="Times New Roman" w:cs="Times New Roman"/>
          <w:i/>
          <w:iCs/>
          <w:highlight w:val="white"/>
        </w:rPr>
        <w:t>.</w:t>
      </w:r>
      <w:r>
        <w:rPr>
          <w:rFonts w:ascii="Times New Roman" w:eastAsia="Times New Roman" w:hAnsi="Times New Roman" w:cs="Times New Roman"/>
          <w:i/>
          <w:iCs/>
        </w:rPr>
        <w:t xml:space="preserve">” </w:t>
      </w:r>
      <w:r>
        <w:rPr>
          <w:rFonts w:ascii="Times New Roman" w:eastAsia="Times New Roman" w:hAnsi="Times New Roman" w:cs="Times New Roman"/>
        </w:rPr>
        <w:t>(T1)</w:t>
      </w:r>
    </w:p>
    <w:p w14:paraId="5C9686F9" w14:textId="77777777" w:rsidR="00780386" w:rsidRDefault="00C443EB">
      <w:pPr>
        <w:spacing w:before="240" w:after="240"/>
        <w:ind w:left="709" w:right="707" w:firstLine="0"/>
        <w:rPr>
          <w:rFonts w:ascii="Times New Roman" w:eastAsia="Times New Roman" w:hAnsi="Times New Roman" w:cs="Times New Roman"/>
        </w:rPr>
      </w:pPr>
      <w:r>
        <w:rPr>
          <w:rFonts w:ascii="Times New Roman" w:eastAsia="Times New Roman" w:hAnsi="Times New Roman" w:cs="Times New Roman"/>
          <w:i/>
          <w:iCs/>
        </w:rPr>
        <w:t>“</w:t>
      </w:r>
      <w:r>
        <w:rPr>
          <w:rFonts w:ascii="Times New Roman" w:eastAsia="Times New Roman" w:hAnsi="Times New Roman" w:cs="Times New Roman"/>
          <w:i/>
          <w:iCs/>
          <w:highlight w:val="white"/>
        </w:rPr>
        <w:t xml:space="preserve">Students also have different learning styles, but generally they like </w:t>
      </w:r>
      <w:r>
        <w:rPr>
          <w:rFonts w:ascii="Times New Roman" w:eastAsia="Times New Roman" w:hAnsi="Times New Roman" w:cs="Times New Roman"/>
          <w:b/>
          <w:bCs/>
          <w:i/>
          <w:iCs/>
          <w:highlight w:val="white"/>
        </w:rPr>
        <w:t>practical activities such as role-playing</w:t>
      </w:r>
      <w:r>
        <w:rPr>
          <w:rFonts w:ascii="Times New Roman" w:eastAsia="Times New Roman" w:hAnsi="Times New Roman" w:cs="Times New Roman"/>
          <w:i/>
          <w:iCs/>
          <w:highlight w:val="white"/>
        </w:rPr>
        <w:t>.</w:t>
      </w:r>
      <w:r>
        <w:rPr>
          <w:rFonts w:ascii="Times New Roman" w:eastAsia="Times New Roman" w:hAnsi="Times New Roman" w:cs="Times New Roman"/>
          <w:i/>
          <w:iCs/>
        </w:rPr>
        <w:t xml:space="preserve">” </w:t>
      </w:r>
      <w:r>
        <w:rPr>
          <w:rFonts w:ascii="Times New Roman" w:eastAsia="Times New Roman" w:hAnsi="Times New Roman" w:cs="Times New Roman"/>
        </w:rPr>
        <w:t>(T2)</w:t>
      </w:r>
    </w:p>
    <w:p w14:paraId="15C4DE5E"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As the teachers pointed out, each student showed a different learning style. Several students preferred to learn quietly and stay focused on teacher explanations, whereas others enjoyed listening to music. Furthermore, most students preferred learning through practical activities, such as role play, instead of theoretical learning. The researcher proved that, based on observations, students responded differently during the learning process. During practical and group activities, such as completing descriptive tasks and presenting in front of the class, most students appeared highly enthusiastic, while others preferred to participate by listening to and responding to teacher explanations. This indicated that each student had their own way of understanding and engaging with the material. As Fleming and Mills (1992) state, the VARK model classifies learning styles into four primary types: visual, auditory, reading/writing, and kinesthetic. Therefore, it was necessary for teachers to adjust their teaching methods to suit these various learning styles, as the alignment between teaching strategies and students' learning styles can positively influence English learning outcomes (</w:t>
      </w:r>
      <w:proofErr w:type="spellStart"/>
      <w:r>
        <w:rPr>
          <w:rFonts w:ascii="Times New Roman" w:eastAsia="Times New Roman" w:hAnsi="Times New Roman" w:cs="Times New Roman"/>
        </w:rPr>
        <w:t>Jumrah</w:t>
      </w:r>
      <w:proofErr w:type="spellEnd"/>
      <w:r>
        <w:rPr>
          <w:rFonts w:ascii="Times New Roman" w:eastAsia="Times New Roman" w:hAnsi="Times New Roman" w:cs="Times New Roman"/>
        </w:rPr>
        <w:t xml:space="preserve"> et al., 2022).</w:t>
      </w:r>
    </w:p>
    <w:p w14:paraId="3C9382CE" w14:textId="77777777" w:rsidR="00780386" w:rsidRDefault="00C443EB">
      <w:pPr>
        <w:rPr>
          <w:rFonts w:ascii="Times New Roman" w:eastAsia="Times New Roman" w:hAnsi="Times New Roman" w:cs="Times New Roman"/>
        </w:rPr>
      </w:pPr>
      <w:r>
        <w:rPr>
          <w:rFonts w:ascii="Times New Roman" w:eastAsia="Times New Roman" w:hAnsi="Times New Roman" w:cs="Times New Roman"/>
          <w:highlight w:val="white"/>
        </w:rPr>
        <w:t>Furthermore, differences in students' English language proficiency were identified, as explained by the teacher below:</w:t>
      </w:r>
    </w:p>
    <w:p w14:paraId="020DFDB2" w14:textId="77777777" w:rsidR="00780386" w:rsidRDefault="00C443EB">
      <w:pPr>
        <w:spacing w:before="240" w:after="240"/>
        <w:ind w:left="709" w:right="707" w:firstLine="0"/>
        <w:rPr>
          <w:rFonts w:ascii="Times New Roman" w:eastAsia="Times New Roman" w:hAnsi="Times New Roman" w:cs="Times New Roman"/>
        </w:rPr>
      </w:pPr>
      <w:r>
        <w:rPr>
          <w:rFonts w:ascii="Times New Roman" w:eastAsia="Times New Roman" w:hAnsi="Times New Roman" w:cs="Times New Roman"/>
          <w:i/>
          <w:iCs/>
        </w:rPr>
        <w:t>“</w:t>
      </w:r>
      <w:r>
        <w:rPr>
          <w:rFonts w:ascii="Times New Roman" w:eastAsia="Times New Roman" w:hAnsi="Times New Roman" w:cs="Times New Roman"/>
          <w:i/>
          <w:iCs/>
          <w:highlight w:val="white"/>
        </w:rPr>
        <w:t xml:space="preserve">For the ability level, </w:t>
      </w:r>
      <w:r>
        <w:rPr>
          <w:rFonts w:ascii="Times New Roman" w:eastAsia="Times New Roman" w:hAnsi="Times New Roman" w:cs="Times New Roman"/>
          <w:b/>
          <w:bCs/>
          <w:i/>
          <w:iCs/>
          <w:highlight w:val="white"/>
        </w:rPr>
        <w:t>some are capable,</w:t>
      </w:r>
      <w:r>
        <w:rPr>
          <w:rFonts w:ascii="Times New Roman" w:eastAsia="Times New Roman" w:hAnsi="Times New Roman" w:cs="Times New Roman"/>
          <w:i/>
          <w:iCs/>
          <w:highlight w:val="white"/>
        </w:rPr>
        <w:t xml:space="preserve"> some are </w:t>
      </w:r>
      <w:r>
        <w:rPr>
          <w:rFonts w:ascii="Times New Roman" w:eastAsia="Times New Roman" w:hAnsi="Times New Roman" w:cs="Times New Roman"/>
          <w:b/>
          <w:bCs/>
          <w:i/>
          <w:iCs/>
          <w:highlight w:val="white"/>
        </w:rPr>
        <w:t>intermediate</w:t>
      </w:r>
      <w:r>
        <w:rPr>
          <w:rFonts w:ascii="Times New Roman" w:eastAsia="Times New Roman" w:hAnsi="Times New Roman" w:cs="Times New Roman"/>
          <w:i/>
          <w:iCs/>
          <w:highlight w:val="white"/>
        </w:rPr>
        <w:t xml:space="preserve">, and some are </w:t>
      </w:r>
      <w:r>
        <w:rPr>
          <w:rFonts w:ascii="Times New Roman" w:eastAsia="Times New Roman" w:hAnsi="Times New Roman" w:cs="Times New Roman"/>
          <w:b/>
          <w:bCs/>
          <w:i/>
          <w:iCs/>
          <w:highlight w:val="white"/>
        </w:rPr>
        <w:t xml:space="preserve">not capable. </w:t>
      </w:r>
      <w:r>
        <w:rPr>
          <w:rFonts w:ascii="Times New Roman" w:eastAsia="Times New Roman" w:hAnsi="Times New Roman" w:cs="Times New Roman"/>
          <w:i/>
          <w:iCs/>
          <w:highlight w:val="white"/>
        </w:rPr>
        <w:t>The not-capable ones can be seen when they are learning from the way they answer questions.</w:t>
      </w:r>
      <w:r>
        <w:rPr>
          <w:rFonts w:ascii="Times New Roman" w:eastAsia="Times New Roman" w:hAnsi="Times New Roman" w:cs="Times New Roman"/>
          <w:i/>
          <w:iCs/>
        </w:rPr>
        <w:t>”</w:t>
      </w:r>
      <w:r>
        <w:rPr>
          <w:rFonts w:ascii="Times New Roman" w:eastAsia="Times New Roman" w:hAnsi="Times New Roman" w:cs="Times New Roman"/>
        </w:rPr>
        <w:t xml:space="preserve"> (T1)</w:t>
      </w:r>
    </w:p>
    <w:p w14:paraId="6DCA3582" w14:textId="77777777" w:rsidR="00780386" w:rsidRDefault="00C443EB">
      <w:pPr>
        <w:spacing w:before="240" w:after="240"/>
        <w:ind w:left="709" w:right="707" w:firstLine="0"/>
        <w:rPr>
          <w:rFonts w:ascii="Times New Roman" w:eastAsia="Times New Roman" w:hAnsi="Times New Roman" w:cs="Times New Roman"/>
        </w:rPr>
      </w:pPr>
      <w:r>
        <w:rPr>
          <w:rFonts w:ascii="Times New Roman" w:eastAsia="Times New Roman" w:hAnsi="Times New Roman" w:cs="Times New Roman"/>
          <w:i/>
          <w:iCs/>
        </w:rPr>
        <w:t>“</w:t>
      </w:r>
      <w:r>
        <w:rPr>
          <w:rFonts w:ascii="Times New Roman" w:eastAsia="Times New Roman" w:hAnsi="Times New Roman" w:cs="Times New Roman"/>
          <w:i/>
          <w:iCs/>
          <w:highlight w:val="white"/>
        </w:rPr>
        <w:t xml:space="preserve">As for </w:t>
      </w:r>
      <w:r>
        <w:rPr>
          <w:rFonts w:ascii="Times New Roman" w:eastAsia="Times New Roman" w:hAnsi="Times New Roman" w:cs="Times New Roman"/>
          <w:b/>
          <w:bCs/>
          <w:i/>
          <w:iCs/>
          <w:highlight w:val="white"/>
        </w:rPr>
        <w:t>ability</w:t>
      </w:r>
      <w:r>
        <w:rPr>
          <w:rFonts w:ascii="Times New Roman" w:eastAsia="Times New Roman" w:hAnsi="Times New Roman" w:cs="Times New Roman"/>
          <w:i/>
          <w:iCs/>
          <w:highlight w:val="white"/>
        </w:rPr>
        <w:t xml:space="preserve">, it varies. Some are </w:t>
      </w:r>
      <w:r>
        <w:rPr>
          <w:rFonts w:ascii="Times New Roman" w:eastAsia="Times New Roman" w:hAnsi="Times New Roman" w:cs="Times New Roman"/>
          <w:b/>
          <w:bCs/>
          <w:i/>
          <w:iCs/>
          <w:highlight w:val="white"/>
        </w:rPr>
        <w:t>quick learners</w:t>
      </w:r>
      <w:r>
        <w:rPr>
          <w:rFonts w:ascii="Times New Roman" w:eastAsia="Times New Roman" w:hAnsi="Times New Roman" w:cs="Times New Roman"/>
          <w:i/>
          <w:iCs/>
          <w:highlight w:val="white"/>
        </w:rPr>
        <w:t>, while others still need guidance. Maybe because their backgrounds and interests are different, so it affects the way they learn.</w:t>
      </w:r>
      <w:r>
        <w:rPr>
          <w:rFonts w:ascii="Times New Roman" w:eastAsia="Times New Roman" w:hAnsi="Times New Roman" w:cs="Times New Roman"/>
          <w:i/>
          <w:iCs/>
        </w:rPr>
        <w:t xml:space="preserve">” </w:t>
      </w:r>
      <w:r>
        <w:rPr>
          <w:rFonts w:ascii="Times New Roman" w:eastAsia="Times New Roman" w:hAnsi="Times New Roman" w:cs="Times New Roman"/>
        </w:rPr>
        <w:t>(T2)</w:t>
      </w:r>
    </w:p>
    <w:p w14:paraId="01739DA4" w14:textId="77777777" w:rsidR="00780386" w:rsidRDefault="00C443EB">
      <w:pPr>
        <w:spacing w:before="240" w:after="240"/>
        <w:rPr>
          <w:rFonts w:ascii="Times New Roman" w:eastAsia="Times New Roman" w:hAnsi="Times New Roman" w:cs="Times New Roman"/>
          <w:highlight w:val="white"/>
        </w:rPr>
      </w:pPr>
      <w:r>
        <w:rPr>
          <w:rFonts w:ascii="Times New Roman" w:eastAsia="Times New Roman" w:hAnsi="Times New Roman" w:cs="Times New Roman"/>
        </w:rPr>
        <w:t>In the statements above, the teachers mentioned that students’ English proficiency levels varied</w:t>
      </w:r>
      <w:r>
        <w:rPr>
          <w:rFonts w:ascii="Times New Roman" w:eastAsia="Times New Roman" w:hAnsi="Times New Roman" w:cs="Times New Roman"/>
          <w:highlight w:val="white"/>
        </w:rPr>
        <w:t xml:space="preserve">. Some of them were highly proficient and able to understand the material quickly, while others were at an average level, and a few were classified as less proficient. This variation could be identified from </w:t>
      </w:r>
      <w:r>
        <w:rPr>
          <w:rFonts w:ascii="Times New Roman" w:eastAsia="Times New Roman" w:hAnsi="Times New Roman" w:cs="Times New Roman"/>
          <w:highlight w:val="white"/>
        </w:rPr>
        <w:lastRenderedPageBreak/>
        <w:t xml:space="preserve">students’ responses to teachers’ questions during the learning process. Classroom observations showed that when teachers reviewed previously taught material by asking questions in turns, some students answered confidently, while others still needed further explanation to understand the material. Teachers highlighted that these differences were influenced by students’ individual backgrounds and learning interests, which affected how quickly students understood the material and participated in classroom activities. As proposed by Vygotsky (1978), the Zone of Proximal Development (ZPD) emphasized that students had different levels of development and required scaffolding from teachers or peers as more knowledgeable others to achieve their learning potential. Similarly, </w:t>
      </w:r>
      <w:proofErr w:type="spellStart"/>
      <w:r>
        <w:rPr>
          <w:rFonts w:ascii="Times New Roman" w:eastAsia="Times New Roman" w:hAnsi="Times New Roman" w:cs="Times New Roman"/>
          <w:highlight w:val="white"/>
        </w:rPr>
        <w:t>Widiastuti</w:t>
      </w:r>
      <w:proofErr w:type="spellEnd"/>
      <w:r>
        <w:rPr>
          <w:rFonts w:ascii="Times New Roman" w:eastAsia="Times New Roman" w:hAnsi="Times New Roman" w:cs="Times New Roman"/>
          <w:highlight w:val="white"/>
        </w:rPr>
        <w:t xml:space="preserve"> et al. (2023) found that scaffolding and social interaction between teachers and students enhanced student engagement and learning abilities.</w:t>
      </w:r>
    </w:p>
    <w:p w14:paraId="4B7345DD" w14:textId="77777777" w:rsidR="00780386" w:rsidRDefault="00C443EB">
      <w:pPr>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Teaching Strategies Used by the Teacher in Teaching English Vocabulary</w:t>
      </w:r>
    </w:p>
    <w:p w14:paraId="204C0C59" w14:textId="77777777" w:rsidR="00780386" w:rsidRDefault="00C443EB">
      <w:pPr>
        <w:ind w:firstLine="0"/>
        <w:rPr>
          <w:rFonts w:ascii="Times New Roman" w:eastAsia="Times New Roman" w:hAnsi="Times New Roman" w:cs="Times New Roman"/>
        </w:rPr>
      </w:pPr>
      <w:r>
        <w:rPr>
          <w:rFonts w:ascii="Times New Roman" w:eastAsia="Times New Roman" w:hAnsi="Times New Roman" w:cs="Times New Roman"/>
        </w:rPr>
        <w:t>Teacher strategy refers to a planned method or a set of activities designed to achieve academic goals. In this research, the teachers mentioned that students with limited vocabulary often experienced difficulties in understanding texts, answering questions, and responding to classroom instructions. Based on interviews and classroom observations, English teachers at SMK Bina Karya 2 Karawang applied various strategies depending on students’ majors. As one teacher explained below:</w:t>
      </w:r>
    </w:p>
    <w:p w14:paraId="20828834" w14:textId="77777777" w:rsidR="00780386" w:rsidRDefault="00780386">
      <w:pPr>
        <w:ind w:firstLine="0"/>
        <w:rPr>
          <w:rFonts w:ascii="Times New Roman" w:eastAsia="Times New Roman" w:hAnsi="Times New Roman" w:cs="Times New Roman"/>
          <w:sz w:val="24"/>
          <w:szCs w:val="24"/>
        </w:rPr>
      </w:pPr>
    </w:p>
    <w:p w14:paraId="4AAFEC83"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 xml:space="preserve">“I think it's very important, because the goal of students in vocational high schools is to </w:t>
      </w:r>
      <w:r>
        <w:rPr>
          <w:rFonts w:ascii="Times New Roman" w:eastAsia="Times New Roman" w:hAnsi="Times New Roman" w:cs="Times New Roman"/>
          <w:b/>
          <w:bCs/>
          <w:i/>
          <w:iCs/>
        </w:rPr>
        <w:t>prepare them for work</w:t>
      </w:r>
      <w:r>
        <w:rPr>
          <w:rFonts w:ascii="Times New Roman" w:eastAsia="Times New Roman" w:hAnsi="Times New Roman" w:cs="Times New Roman"/>
          <w:i/>
          <w:iCs/>
        </w:rPr>
        <w:t xml:space="preserve">. So, their vocabulary should also be </w:t>
      </w:r>
      <w:r>
        <w:rPr>
          <w:rFonts w:ascii="Times New Roman" w:eastAsia="Times New Roman" w:hAnsi="Times New Roman" w:cs="Times New Roman"/>
          <w:b/>
          <w:bCs/>
          <w:i/>
          <w:iCs/>
        </w:rPr>
        <w:t>relevant to their majors</w:t>
      </w:r>
      <w:r>
        <w:rPr>
          <w:rFonts w:ascii="Times New Roman" w:eastAsia="Times New Roman" w:hAnsi="Times New Roman" w:cs="Times New Roman"/>
          <w:i/>
          <w:iCs/>
        </w:rPr>
        <w:t>.”</w:t>
      </w:r>
      <w:r>
        <w:rPr>
          <w:rFonts w:ascii="Times New Roman" w:eastAsia="Times New Roman" w:hAnsi="Times New Roman" w:cs="Times New Roman"/>
        </w:rPr>
        <w:t xml:space="preserve"> (T2)</w:t>
      </w:r>
    </w:p>
    <w:p w14:paraId="5A112B37" w14:textId="77777777" w:rsidR="00780386" w:rsidRDefault="00C443EB">
      <w:pPr>
        <w:spacing w:before="240" w:after="240"/>
        <w:rPr>
          <w:rFonts w:ascii="Times New Roman" w:eastAsia="Times New Roman" w:hAnsi="Times New Roman" w:cs="Times New Roman"/>
        </w:rPr>
      </w:pPr>
      <w:r>
        <w:rPr>
          <w:rFonts w:ascii="Times New Roman" w:eastAsia="Times New Roman" w:hAnsi="Times New Roman" w:cs="Times New Roman"/>
        </w:rPr>
        <w:t>This statement indicated that teachers selected vocabulary teaching strategies based on considerations of students’ vocational backgrounds to ensure the material was applicable to students’ future needs. As Thornbury (2002) points out, teachers should consider two aspects of teaching vocabulary: how to convey the meaning of a word and how to present the word. In line with these principles, the teachers in this research applied several strategies to help students acquire vocabulary and engage more actively in classroom activities. These strategies included memorization, translation, role-play, differentiated learning, games, and social-emotional learning. As explained below.</w:t>
      </w:r>
    </w:p>
    <w:p w14:paraId="5FB3BDB6"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 xml:space="preserve">“But I generally use more </w:t>
      </w:r>
      <w:r>
        <w:rPr>
          <w:rFonts w:ascii="Times New Roman" w:eastAsia="Times New Roman" w:hAnsi="Times New Roman" w:cs="Times New Roman"/>
          <w:b/>
          <w:bCs/>
          <w:i/>
          <w:iCs/>
        </w:rPr>
        <w:t>memorization</w:t>
      </w:r>
      <w:r>
        <w:rPr>
          <w:rFonts w:ascii="Times New Roman" w:eastAsia="Times New Roman" w:hAnsi="Times New Roman" w:cs="Times New Roman"/>
          <w:i/>
          <w:iCs/>
        </w:rPr>
        <w:t xml:space="preserve"> for the tasks, then the students are called on one by one and </w:t>
      </w:r>
      <w:r>
        <w:rPr>
          <w:rFonts w:ascii="Times New Roman" w:eastAsia="Times New Roman" w:hAnsi="Times New Roman" w:cs="Times New Roman"/>
          <w:b/>
          <w:bCs/>
          <w:i/>
          <w:iCs/>
        </w:rPr>
        <w:t>translate it directly</w:t>
      </w:r>
      <w:r>
        <w:rPr>
          <w:rFonts w:ascii="Times New Roman" w:eastAsia="Times New Roman" w:hAnsi="Times New Roman" w:cs="Times New Roman"/>
          <w:i/>
          <w:iCs/>
        </w:rPr>
        <w:t xml:space="preserve">.” </w:t>
      </w:r>
      <w:r>
        <w:rPr>
          <w:rFonts w:ascii="Times New Roman" w:eastAsia="Times New Roman" w:hAnsi="Times New Roman" w:cs="Times New Roman"/>
        </w:rPr>
        <w:t>(T1)</w:t>
      </w:r>
    </w:p>
    <w:p w14:paraId="0D81DC11" w14:textId="77777777" w:rsidR="00780386" w:rsidRDefault="00780386">
      <w:pPr>
        <w:ind w:left="720" w:right="707" w:hanging="10"/>
        <w:rPr>
          <w:rFonts w:ascii="Times New Roman" w:eastAsia="Times New Roman" w:hAnsi="Times New Roman" w:cs="Times New Roman"/>
        </w:rPr>
      </w:pPr>
    </w:p>
    <w:p w14:paraId="49E42FB3"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 xml:space="preserve">“I usually use </w:t>
      </w:r>
      <w:r>
        <w:rPr>
          <w:rFonts w:ascii="Times New Roman" w:eastAsia="Times New Roman" w:hAnsi="Times New Roman" w:cs="Times New Roman"/>
          <w:b/>
          <w:bCs/>
          <w:i/>
          <w:iCs/>
        </w:rPr>
        <w:t>memorization</w:t>
      </w:r>
      <w:r>
        <w:rPr>
          <w:rFonts w:ascii="Times New Roman" w:eastAsia="Times New Roman" w:hAnsi="Times New Roman" w:cs="Times New Roman"/>
          <w:i/>
          <w:iCs/>
        </w:rPr>
        <w:t xml:space="preserve"> </w:t>
      </w:r>
      <w:r>
        <w:rPr>
          <w:rFonts w:ascii="Times New Roman" w:eastAsia="Times New Roman" w:hAnsi="Times New Roman" w:cs="Times New Roman"/>
          <w:b/>
          <w:bCs/>
          <w:i/>
          <w:iCs/>
        </w:rPr>
        <w:t>strategies</w:t>
      </w:r>
      <w:r>
        <w:rPr>
          <w:rFonts w:ascii="Times New Roman" w:eastAsia="Times New Roman" w:hAnsi="Times New Roman" w:cs="Times New Roman"/>
          <w:i/>
          <w:iCs/>
        </w:rPr>
        <w:t xml:space="preserve">, then </w:t>
      </w:r>
      <w:r>
        <w:rPr>
          <w:rFonts w:ascii="Times New Roman" w:eastAsia="Times New Roman" w:hAnsi="Times New Roman" w:cs="Times New Roman"/>
          <w:b/>
          <w:bCs/>
          <w:i/>
          <w:iCs/>
        </w:rPr>
        <w:t>review</w:t>
      </w:r>
      <w:r>
        <w:rPr>
          <w:rFonts w:ascii="Times New Roman" w:eastAsia="Times New Roman" w:hAnsi="Times New Roman" w:cs="Times New Roman"/>
          <w:i/>
          <w:iCs/>
        </w:rPr>
        <w:t xml:space="preserve">, and sometimes </w:t>
      </w:r>
      <w:r>
        <w:rPr>
          <w:rFonts w:ascii="Times New Roman" w:eastAsia="Times New Roman" w:hAnsi="Times New Roman" w:cs="Times New Roman"/>
          <w:b/>
          <w:bCs/>
          <w:i/>
          <w:iCs/>
        </w:rPr>
        <w:t>roleplay</w:t>
      </w:r>
      <w:r>
        <w:rPr>
          <w:rFonts w:ascii="Times New Roman" w:eastAsia="Times New Roman" w:hAnsi="Times New Roman" w:cs="Times New Roman"/>
          <w:i/>
          <w:iCs/>
        </w:rPr>
        <w:t xml:space="preserve">. I also use </w:t>
      </w:r>
      <w:r>
        <w:rPr>
          <w:rFonts w:ascii="Times New Roman" w:eastAsia="Times New Roman" w:hAnsi="Times New Roman" w:cs="Times New Roman"/>
          <w:b/>
          <w:bCs/>
          <w:i/>
          <w:iCs/>
        </w:rPr>
        <w:t>direct translation</w:t>
      </w:r>
      <w:r>
        <w:rPr>
          <w:rFonts w:ascii="Times New Roman" w:eastAsia="Times New Roman" w:hAnsi="Times New Roman" w:cs="Times New Roman"/>
          <w:i/>
          <w:iCs/>
        </w:rPr>
        <w:t xml:space="preserve"> methods, like when we read a text together, if they don't understand, I explain the meaning, and then we repeat it so they can memorize it</w:t>
      </w:r>
      <w:r>
        <w:rPr>
          <w:rFonts w:ascii="Times New Roman" w:eastAsia="Times New Roman" w:hAnsi="Times New Roman" w:cs="Times New Roman"/>
        </w:rPr>
        <w:t>.” (T2)</w:t>
      </w:r>
    </w:p>
    <w:p w14:paraId="5206B05B" w14:textId="77777777" w:rsidR="00780386" w:rsidRDefault="00780386">
      <w:pPr>
        <w:ind w:left="720"/>
        <w:rPr>
          <w:rFonts w:ascii="Times New Roman" w:eastAsia="Times New Roman" w:hAnsi="Times New Roman" w:cs="Times New Roman"/>
        </w:rPr>
      </w:pPr>
    </w:p>
    <w:p w14:paraId="65A87417"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The statement above revealed that memorization was the most frequently used strategy in teaching vocabulary during classroom activities. Based on these observations, students were independently asked to find and write down ten unfamiliar words related to adjectives, memorize the meaning of each word, and then present the words in front of the teacher. This indicated that memorization activities helped students repeatedly practice recalling vocabulary, which reinforced their understanding of word meanings. As Bakri (2022) stated memorization strategies helped students recall word meanings and spellings, strengthen the memory, and enrich vocabulary mastery through consistent practice.</w:t>
      </w:r>
    </w:p>
    <w:p w14:paraId="0A7A78D1"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 xml:space="preserve">In addition, translation was another strategy used by the teacher, particularly during reading activities. In these activities, students were asked to read descriptive texts together. When students were unfamiliar with a word, the teacher directly translated the word into the students' first language. The teacher also provided simple example sentences to clarify the meanings of the words. Consequently, </w:t>
      </w:r>
      <w:r>
        <w:rPr>
          <w:rFonts w:ascii="Times New Roman" w:eastAsia="Times New Roman" w:hAnsi="Times New Roman" w:cs="Times New Roman"/>
        </w:rPr>
        <w:lastRenderedPageBreak/>
        <w:t xml:space="preserve">students gained an understanding of vocabulary meanings and how words were used in context. As </w:t>
      </w:r>
      <w:proofErr w:type="spellStart"/>
      <w:r>
        <w:rPr>
          <w:rFonts w:ascii="Times New Roman" w:eastAsia="Times New Roman" w:hAnsi="Times New Roman" w:cs="Times New Roman"/>
        </w:rPr>
        <w:t>Alshaikhi</w:t>
      </w:r>
      <w:proofErr w:type="spellEnd"/>
      <w:r>
        <w:rPr>
          <w:rFonts w:ascii="Times New Roman" w:eastAsia="Times New Roman" w:hAnsi="Times New Roman" w:cs="Times New Roman"/>
        </w:rPr>
        <w:t xml:space="preserve"> (2022) pointed out, these activities increased students’ comprehension by helping them understand unfamiliar vocabulary more effectively.</w:t>
      </w:r>
    </w:p>
    <w:p w14:paraId="177990F7"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 xml:space="preserve">Apart from that, the teacher also added a role-play activity to encourage students to apply vocabulary in a real-life situation. The teacher prepared a simple role-play scenario and divided students into pairs. Then, students were asked to create short dialogues and perform them in front of the class. Through this activity, students were encouraged not only to understand the meaning of words but also to use the words in meaningful communication. As Azzahra and </w:t>
      </w:r>
      <w:proofErr w:type="spellStart"/>
      <w:r>
        <w:rPr>
          <w:rFonts w:ascii="Times New Roman" w:eastAsia="Times New Roman" w:hAnsi="Times New Roman" w:cs="Times New Roman"/>
        </w:rPr>
        <w:t>Kaniadewi</w:t>
      </w:r>
      <w:proofErr w:type="spellEnd"/>
      <w:r>
        <w:rPr>
          <w:rFonts w:ascii="Times New Roman" w:eastAsia="Times New Roman" w:hAnsi="Times New Roman" w:cs="Times New Roman"/>
        </w:rPr>
        <w:t xml:space="preserve"> (2025) pointed out, students learn more effectively when they are involved in activities that enable them to interact, discuss, and practice directly. </w:t>
      </w:r>
    </w:p>
    <w:p w14:paraId="2DBB1F8F"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Meanwhile, the teacher also used another vocabulary teaching strategy, as reflected in the following:</w:t>
      </w:r>
    </w:p>
    <w:p w14:paraId="7EB683E4" w14:textId="77777777" w:rsidR="00780386" w:rsidRDefault="00780386">
      <w:pPr>
        <w:rPr>
          <w:rFonts w:ascii="Times New Roman" w:eastAsia="Times New Roman" w:hAnsi="Times New Roman" w:cs="Times New Roman"/>
        </w:rPr>
      </w:pPr>
    </w:p>
    <w:p w14:paraId="3AEEC4F4" w14:textId="77777777" w:rsidR="00780386" w:rsidRDefault="00C443EB">
      <w:pPr>
        <w:ind w:left="709" w:right="707" w:hanging="10"/>
        <w:rPr>
          <w:rFonts w:ascii="Times New Roman" w:eastAsia="Times New Roman" w:hAnsi="Times New Roman" w:cs="Times New Roman"/>
        </w:rPr>
      </w:pPr>
      <w:r>
        <w:rPr>
          <w:rFonts w:ascii="Times New Roman" w:eastAsia="Times New Roman" w:hAnsi="Times New Roman" w:cs="Times New Roman"/>
          <w:i/>
          <w:iCs/>
        </w:rPr>
        <w:t xml:space="preserve">“I use </w:t>
      </w:r>
      <w:r>
        <w:rPr>
          <w:rFonts w:ascii="Times New Roman" w:eastAsia="Times New Roman" w:hAnsi="Times New Roman" w:cs="Times New Roman"/>
          <w:b/>
          <w:bCs/>
          <w:i/>
          <w:iCs/>
        </w:rPr>
        <w:t>games like Hangman</w:t>
      </w:r>
      <w:r>
        <w:rPr>
          <w:rFonts w:ascii="Times New Roman" w:eastAsia="Times New Roman" w:hAnsi="Times New Roman" w:cs="Times New Roman"/>
          <w:i/>
          <w:iCs/>
        </w:rPr>
        <w:t xml:space="preserve">. I also use </w:t>
      </w:r>
      <w:r>
        <w:rPr>
          <w:rFonts w:ascii="Times New Roman" w:eastAsia="Times New Roman" w:hAnsi="Times New Roman" w:cs="Times New Roman"/>
          <w:b/>
          <w:bCs/>
          <w:i/>
          <w:iCs/>
        </w:rPr>
        <w:t>differentiated learning</w:t>
      </w:r>
      <w:r>
        <w:rPr>
          <w:rFonts w:ascii="Times New Roman" w:eastAsia="Times New Roman" w:hAnsi="Times New Roman" w:cs="Times New Roman"/>
          <w:i/>
          <w:iCs/>
        </w:rPr>
        <w:t xml:space="preserve"> so that they can learn based on their own abilities, they can discuss and help each other if someone doesn't understand, so everyone is covered. I also implement </w:t>
      </w:r>
      <w:r>
        <w:rPr>
          <w:rFonts w:ascii="Times New Roman" w:eastAsia="Times New Roman" w:hAnsi="Times New Roman" w:cs="Times New Roman"/>
          <w:b/>
          <w:bCs/>
          <w:i/>
          <w:iCs/>
        </w:rPr>
        <w:t>social and emotional learning</w:t>
      </w:r>
      <w:r>
        <w:rPr>
          <w:rFonts w:ascii="Times New Roman" w:eastAsia="Times New Roman" w:hAnsi="Times New Roman" w:cs="Times New Roman"/>
          <w:i/>
          <w:iCs/>
        </w:rPr>
        <w:t xml:space="preserve"> in the classroom, for example, by ice breaking or relaxation activities so that it makes students more relaxed and focused.”</w:t>
      </w:r>
      <w:r>
        <w:rPr>
          <w:rFonts w:ascii="Times New Roman" w:eastAsia="Times New Roman" w:hAnsi="Times New Roman" w:cs="Times New Roman"/>
        </w:rPr>
        <w:t xml:space="preserve"> (T1)</w:t>
      </w:r>
    </w:p>
    <w:p w14:paraId="750699AE" w14:textId="77777777" w:rsidR="00780386" w:rsidRDefault="00780386">
      <w:pPr>
        <w:ind w:left="720"/>
        <w:rPr>
          <w:rFonts w:ascii="Times New Roman" w:eastAsia="Times New Roman" w:hAnsi="Times New Roman" w:cs="Times New Roman"/>
        </w:rPr>
      </w:pPr>
    </w:p>
    <w:p w14:paraId="1942AEA3"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 xml:space="preserve">As mentioned by the teacher during the interview, Hangman was one of the strategies used to teach vocabulary to maintain students’ interest in learning. The teacher explained that this game encouraged students to actively participate because they had to guess words together and take turns answering. This activity allowed students to interact with their classmates, discuss possible answers, and stay involved in the learning process, making the classroom atmosphere more enjoyable. As </w:t>
      </w:r>
      <w:proofErr w:type="spellStart"/>
      <w:r>
        <w:rPr>
          <w:rFonts w:ascii="Times New Roman" w:eastAsia="Times New Roman" w:hAnsi="Times New Roman" w:cs="Times New Roman"/>
        </w:rPr>
        <w:t>Dharmayasa</w:t>
      </w:r>
      <w:proofErr w:type="spellEnd"/>
      <w:r>
        <w:rPr>
          <w:rFonts w:ascii="Times New Roman" w:eastAsia="Times New Roman" w:hAnsi="Times New Roman" w:cs="Times New Roman"/>
        </w:rPr>
        <w:t xml:space="preserve"> (2022) revealed that the Hangman game had a significant effect on improving vocabulary mastery. Through collaborative word-guessing activities, the game increased motivation, improved concentration, and strengthened cooperation among students so the learning process became more meaningful and easier to understand.</w:t>
      </w:r>
    </w:p>
    <w:p w14:paraId="2E325199"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Additionally, the teacher employed differentiated learning, which involved adapting classroom activities based on students' abilities and needs. Based on classroom observation, the teacher allowed students to learn depending on their own level of understanding. Students who understood the material more quickly could assist their classmates who still needed guidance. This strategy fostered an inclusive learning environment and ensured that each student was supported and encouraged. As Amar et al. (2025) explained, implementing differentiated learning was effective in enhancing both vocabulary mastery and student involvement when learning activities were adjusted to suit students' abilities and preferences. Also, Tomlinson (2014) highlighted that differentiated learning is important for accommodating students’ learning readiness, interests, and learning styles.</w:t>
      </w:r>
    </w:p>
    <w:p w14:paraId="5B711EC4"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Besides that, the teacher also implemented social and emotional learning (SEL) through icebreaking and relaxation activities. One icebreaking activity involved asking students to mention a word that began with a specific letter during attendance. When their names were called, students were asked to spontaneously mention a word that started with the assigned letter. This activity not only helped the students feel more relaxed, but it also helped them stay focused, boost their energy, and build their vocabulary in a playful way. In addition, the implementation of SEL also contributed to reducing disruptive behavior and creating a more supportive classroom environment. This finding aligned with Martinez and Gomez (2024), who emphasized the positive impact of SEL on students’ social and emotional development.</w:t>
      </w:r>
    </w:p>
    <w:p w14:paraId="1DB62A49"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In implementing these strategies, the teachers adjusted based on the characteristics and dynamics of each class. The teachers understood that each student had different abilities and levels of activity; thus, the strategies were adapted to each classroom condition, as mentioned below:</w:t>
      </w:r>
    </w:p>
    <w:p w14:paraId="7080E744" w14:textId="77777777" w:rsidR="00780386" w:rsidRDefault="00780386">
      <w:pPr>
        <w:rPr>
          <w:rFonts w:ascii="Times New Roman" w:eastAsia="Times New Roman" w:hAnsi="Times New Roman" w:cs="Times New Roman"/>
        </w:rPr>
      </w:pPr>
    </w:p>
    <w:p w14:paraId="1C35171D" w14:textId="77777777" w:rsidR="00780386" w:rsidRDefault="00C443EB">
      <w:pPr>
        <w:ind w:left="709" w:right="707" w:firstLine="0"/>
        <w:rPr>
          <w:rFonts w:ascii="Times New Roman" w:eastAsia="Times New Roman" w:hAnsi="Times New Roman" w:cs="Times New Roman"/>
        </w:rPr>
      </w:pPr>
      <w:r>
        <w:rPr>
          <w:rFonts w:ascii="Times New Roman" w:eastAsia="Times New Roman" w:hAnsi="Times New Roman" w:cs="Times New Roman"/>
          <w:i/>
          <w:iCs/>
        </w:rPr>
        <w:lastRenderedPageBreak/>
        <w:t xml:space="preserve">“I adjust </w:t>
      </w:r>
      <w:r>
        <w:rPr>
          <w:rFonts w:ascii="Times New Roman" w:eastAsia="Times New Roman" w:hAnsi="Times New Roman" w:cs="Times New Roman"/>
          <w:b/>
          <w:bCs/>
          <w:i/>
          <w:iCs/>
        </w:rPr>
        <w:t>differentiated learning</w:t>
      </w:r>
      <w:r>
        <w:rPr>
          <w:rFonts w:ascii="Times New Roman" w:eastAsia="Times New Roman" w:hAnsi="Times New Roman" w:cs="Times New Roman"/>
          <w:i/>
          <w:iCs/>
        </w:rPr>
        <w:t xml:space="preserve"> in all classes. For social-emotional learning, I choose classes such as Class A and Class C to apply it, but if the class is not active like Class C, it is difficult to focus. For assignments, I also give </w:t>
      </w:r>
      <w:r>
        <w:rPr>
          <w:rFonts w:ascii="Times New Roman" w:eastAsia="Times New Roman" w:hAnsi="Times New Roman" w:cs="Times New Roman"/>
          <w:b/>
          <w:bCs/>
          <w:i/>
          <w:iCs/>
        </w:rPr>
        <w:t>different tasks to each class according to the class's activity level</w:t>
      </w:r>
      <w:r>
        <w:rPr>
          <w:rFonts w:ascii="Times New Roman" w:eastAsia="Times New Roman" w:hAnsi="Times New Roman" w:cs="Times New Roman"/>
          <w:i/>
          <w:iCs/>
        </w:rPr>
        <w:t>. So, rather than giving difficult tasks that will not be done, it is better to</w:t>
      </w:r>
      <w:r>
        <w:rPr>
          <w:rFonts w:ascii="Times New Roman" w:eastAsia="Times New Roman" w:hAnsi="Times New Roman" w:cs="Times New Roman"/>
          <w:b/>
          <w:bCs/>
          <w:i/>
          <w:iCs/>
        </w:rPr>
        <w:t xml:space="preserve"> give easy tasks that they can do</w:t>
      </w:r>
      <w:r>
        <w:rPr>
          <w:rFonts w:ascii="Times New Roman" w:eastAsia="Times New Roman" w:hAnsi="Times New Roman" w:cs="Times New Roman"/>
          <w:i/>
          <w:iCs/>
        </w:rPr>
        <w:t>.”</w:t>
      </w:r>
      <w:r>
        <w:rPr>
          <w:rFonts w:ascii="Times New Roman" w:eastAsia="Times New Roman" w:hAnsi="Times New Roman" w:cs="Times New Roman"/>
        </w:rPr>
        <w:t xml:space="preserve"> (T1)</w:t>
      </w:r>
    </w:p>
    <w:p w14:paraId="3BC46D4E" w14:textId="77777777" w:rsidR="00780386" w:rsidRDefault="00780386">
      <w:pPr>
        <w:ind w:left="709" w:right="707" w:firstLine="0"/>
        <w:rPr>
          <w:rFonts w:ascii="Times New Roman" w:eastAsia="Times New Roman" w:hAnsi="Times New Roman" w:cs="Times New Roman"/>
        </w:rPr>
      </w:pPr>
    </w:p>
    <w:p w14:paraId="79A224E5" w14:textId="77777777" w:rsidR="00780386" w:rsidRDefault="00C443EB">
      <w:pPr>
        <w:ind w:left="709" w:right="707" w:firstLine="0"/>
        <w:rPr>
          <w:rFonts w:ascii="Times New Roman" w:eastAsia="Times New Roman" w:hAnsi="Times New Roman" w:cs="Times New Roman"/>
        </w:rPr>
      </w:pPr>
      <w:r>
        <w:rPr>
          <w:rFonts w:ascii="Times New Roman" w:eastAsia="Times New Roman" w:hAnsi="Times New Roman" w:cs="Times New Roman"/>
          <w:i/>
          <w:iCs/>
        </w:rPr>
        <w:t xml:space="preserve">“In classes where the </w:t>
      </w:r>
      <w:r>
        <w:rPr>
          <w:rFonts w:ascii="Times New Roman" w:eastAsia="Times New Roman" w:hAnsi="Times New Roman" w:cs="Times New Roman"/>
          <w:b/>
          <w:bCs/>
          <w:i/>
          <w:iCs/>
        </w:rPr>
        <w:t>students are</w:t>
      </w:r>
      <w:r>
        <w:rPr>
          <w:rFonts w:ascii="Times New Roman" w:eastAsia="Times New Roman" w:hAnsi="Times New Roman" w:cs="Times New Roman"/>
          <w:i/>
          <w:iCs/>
        </w:rPr>
        <w:t xml:space="preserve"> </w:t>
      </w:r>
      <w:r>
        <w:rPr>
          <w:rFonts w:ascii="Times New Roman" w:eastAsia="Times New Roman" w:hAnsi="Times New Roman" w:cs="Times New Roman"/>
          <w:b/>
          <w:bCs/>
          <w:i/>
          <w:iCs/>
        </w:rPr>
        <w:t>quick learners</w:t>
      </w:r>
      <w:r>
        <w:rPr>
          <w:rFonts w:ascii="Times New Roman" w:eastAsia="Times New Roman" w:hAnsi="Times New Roman" w:cs="Times New Roman"/>
          <w:i/>
          <w:iCs/>
        </w:rPr>
        <w:t xml:space="preserve">, such as in the advanced classes A and B, I </w:t>
      </w:r>
      <w:r>
        <w:rPr>
          <w:rFonts w:ascii="Times New Roman" w:eastAsia="Times New Roman" w:hAnsi="Times New Roman" w:cs="Times New Roman"/>
          <w:b/>
          <w:bCs/>
          <w:i/>
          <w:iCs/>
        </w:rPr>
        <w:t xml:space="preserve">use any strategy, </w:t>
      </w:r>
      <w:r>
        <w:rPr>
          <w:rFonts w:ascii="Times New Roman" w:eastAsia="Times New Roman" w:hAnsi="Times New Roman" w:cs="Times New Roman"/>
          <w:i/>
          <w:iCs/>
        </w:rPr>
        <w:t xml:space="preserve">and they immediately understand and grasp the material. But in class C, the </w:t>
      </w:r>
      <w:r>
        <w:rPr>
          <w:rFonts w:ascii="Times New Roman" w:eastAsia="Times New Roman" w:hAnsi="Times New Roman" w:cs="Times New Roman"/>
          <w:b/>
          <w:bCs/>
          <w:i/>
          <w:iCs/>
        </w:rPr>
        <w:t>students are a bit slow</w:t>
      </w:r>
      <w:r>
        <w:rPr>
          <w:rFonts w:ascii="Times New Roman" w:eastAsia="Times New Roman" w:hAnsi="Times New Roman" w:cs="Times New Roman"/>
          <w:i/>
          <w:iCs/>
        </w:rPr>
        <w:t xml:space="preserve">, although not all of them, so </w:t>
      </w:r>
      <w:r>
        <w:rPr>
          <w:rFonts w:ascii="Times New Roman" w:eastAsia="Times New Roman" w:hAnsi="Times New Roman" w:cs="Times New Roman"/>
          <w:b/>
          <w:bCs/>
          <w:i/>
          <w:iCs/>
        </w:rPr>
        <w:t>I teach slowly</w:t>
      </w:r>
      <w:r>
        <w:rPr>
          <w:rFonts w:ascii="Times New Roman" w:eastAsia="Times New Roman" w:hAnsi="Times New Roman" w:cs="Times New Roman"/>
          <w:i/>
          <w:iCs/>
        </w:rPr>
        <w:t xml:space="preserve">, </w:t>
      </w:r>
      <w:r>
        <w:rPr>
          <w:rFonts w:ascii="Times New Roman" w:eastAsia="Times New Roman" w:hAnsi="Times New Roman" w:cs="Times New Roman"/>
          <w:b/>
          <w:bCs/>
          <w:i/>
          <w:iCs/>
        </w:rPr>
        <w:t xml:space="preserve">starting with the easy stuff first, </w:t>
      </w:r>
      <w:r>
        <w:rPr>
          <w:rFonts w:ascii="Times New Roman" w:eastAsia="Times New Roman" w:hAnsi="Times New Roman" w:cs="Times New Roman"/>
          <w:i/>
          <w:iCs/>
        </w:rPr>
        <w:t>then</w:t>
      </w:r>
      <w:r>
        <w:rPr>
          <w:rFonts w:ascii="Times New Roman" w:eastAsia="Times New Roman" w:hAnsi="Times New Roman" w:cs="Times New Roman"/>
          <w:b/>
          <w:bCs/>
          <w:i/>
          <w:iCs/>
        </w:rPr>
        <w:t xml:space="preserve"> repeating it</w:t>
      </w:r>
      <w:r>
        <w:rPr>
          <w:rFonts w:ascii="Times New Roman" w:eastAsia="Times New Roman" w:hAnsi="Times New Roman" w:cs="Times New Roman"/>
          <w:i/>
          <w:iCs/>
        </w:rPr>
        <w:t xml:space="preserve"> </w:t>
      </w:r>
      <w:r>
        <w:rPr>
          <w:rFonts w:ascii="Times New Roman" w:eastAsia="Times New Roman" w:hAnsi="Times New Roman" w:cs="Times New Roman"/>
          <w:b/>
          <w:bCs/>
          <w:i/>
          <w:iCs/>
        </w:rPr>
        <w:t>often</w:t>
      </w:r>
      <w:r>
        <w:rPr>
          <w:rFonts w:ascii="Times New Roman" w:eastAsia="Times New Roman" w:hAnsi="Times New Roman" w:cs="Times New Roman"/>
          <w:i/>
          <w:iCs/>
        </w:rPr>
        <w:t xml:space="preserve"> so they understand.”</w:t>
      </w:r>
      <w:r>
        <w:rPr>
          <w:rFonts w:ascii="Times New Roman" w:eastAsia="Times New Roman" w:hAnsi="Times New Roman" w:cs="Times New Roman"/>
        </w:rPr>
        <w:t xml:space="preserve"> (T2)</w:t>
      </w:r>
    </w:p>
    <w:p w14:paraId="5C6E640B" w14:textId="77777777" w:rsidR="00780386" w:rsidRDefault="00C443EB">
      <w:pPr>
        <w:spacing w:before="240" w:after="240"/>
        <w:rPr>
          <w:rFonts w:ascii="Times New Roman" w:eastAsia="Times New Roman" w:hAnsi="Times New Roman" w:cs="Times New Roman"/>
        </w:rPr>
      </w:pPr>
      <w:r>
        <w:rPr>
          <w:rFonts w:ascii="Times New Roman" w:eastAsia="Times New Roman" w:hAnsi="Times New Roman" w:cs="Times New Roman"/>
        </w:rPr>
        <w:t>Both teachers used flashcards as learning media to support teaching vocabulary, as seen in the following statements.</w:t>
      </w:r>
    </w:p>
    <w:p w14:paraId="1200E7C5"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 xml:space="preserve">“I often use </w:t>
      </w:r>
      <w:r>
        <w:rPr>
          <w:rFonts w:ascii="Times New Roman" w:eastAsia="Times New Roman" w:hAnsi="Times New Roman" w:cs="Times New Roman"/>
          <w:b/>
          <w:bCs/>
          <w:i/>
          <w:iCs/>
        </w:rPr>
        <w:t>flashcards</w:t>
      </w:r>
      <w:r>
        <w:rPr>
          <w:rFonts w:ascii="Times New Roman" w:eastAsia="Times New Roman" w:hAnsi="Times New Roman" w:cs="Times New Roman"/>
          <w:i/>
          <w:iCs/>
        </w:rPr>
        <w:t xml:space="preserve"> that I make myself from sources on the internet. Sometimes I ask them to search the internet themselves, but only as a reference." </w:t>
      </w:r>
      <w:r>
        <w:rPr>
          <w:rFonts w:ascii="Times New Roman" w:eastAsia="Times New Roman" w:hAnsi="Times New Roman" w:cs="Times New Roman"/>
        </w:rPr>
        <w:t>(T1)</w:t>
      </w:r>
    </w:p>
    <w:p w14:paraId="47C82803" w14:textId="77777777" w:rsidR="00780386" w:rsidRDefault="00780386">
      <w:pPr>
        <w:ind w:left="720" w:right="707" w:hanging="10"/>
        <w:rPr>
          <w:rFonts w:ascii="Times New Roman" w:eastAsia="Times New Roman" w:hAnsi="Times New Roman" w:cs="Times New Roman"/>
        </w:rPr>
      </w:pPr>
    </w:p>
    <w:p w14:paraId="64B3E4D0"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 xml:space="preserve">“I use the </w:t>
      </w:r>
      <w:r>
        <w:rPr>
          <w:rFonts w:ascii="Times New Roman" w:eastAsia="Times New Roman" w:hAnsi="Times New Roman" w:cs="Times New Roman"/>
          <w:b/>
          <w:bCs/>
          <w:i/>
          <w:iCs/>
        </w:rPr>
        <w:t>pictures</w:t>
      </w:r>
      <w:r>
        <w:rPr>
          <w:rFonts w:ascii="Times New Roman" w:eastAsia="Times New Roman" w:hAnsi="Times New Roman" w:cs="Times New Roman"/>
          <w:i/>
          <w:iCs/>
        </w:rPr>
        <w:t xml:space="preserve"> </w:t>
      </w:r>
      <w:r>
        <w:rPr>
          <w:rFonts w:ascii="Times New Roman" w:eastAsia="Times New Roman" w:hAnsi="Times New Roman" w:cs="Times New Roman"/>
          <w:b/>
          <w:bCs/>
          <w:i/>
          <w:iCs/>
        </w:rPr>
        <w:t>in books</w:t>
      </w:r>
      <w:r>
        <w:rPr>
          <w:rFonts w:ascii="Times New Roman" w:eastAsia="Times New Roman" w:hAnsi="Times New Roman" w:cs="Times New Roman"/>
          <w:i/>
          <w:iCs/>
        </w:rPr>
        <w:t xml:space="preserve"> and </w:t>
      </w:r>
      <w:r>
        <w:rPr>
          <w:rFonts w:ascii="Times New Roman" w:eastAsia="Times New Roman" w:hAnsi="Times New Roman" w:cs="Times New Roman"/>
          <w:b/>
          <w:bCs/>
          <w:i/>
          <w:iCs/>
        </w:rPr>
        <w:t>flashcards</w:t>
      </w:r>
      <w:r>
        <w:rPr>
          <w:rFonts w:ascii="Times New Roman" w:eastAsia="Times New Roman" w:hAnsi="Times New Roman" w:cs="Times New Roman"/>
          <w:i/>
          <w:iCs/>
        </w:rPr>
        <w:t xml:space="preserve"> as teaching aids. Sometimes I print out the </w:t>
      </w:r>
      <w:r>
        <w:rPr>
          <w:rFonts w:ascii="Times New Roman" w:eastAsia="Times New Roman" w:hAnsi="Times New Roman" w:cs="Times New Roman"/>
          <w:b/>
          <w:bCs/>
          <w:i/>
          <w:iCs/>
        </w:rPr>
        <w:t>pictures</w:t>
      </w:r>
      <w:r>
        <w:rPr>
          <w:rFonts w:ascii="Times New Roman" w:eastAsia="Times New Roman" w:hAnsi="Times New Roman" w:cs="Times New Roman"/>
          <w:i/>
          <w:iCs/>
        </w:rPr>
        <w:t xml:space="preserve"> myself.” </w:t>
      </w:r>
      <w:r>
        <w:rPr>
          <w:rFonts w:ascii="Times New Roman" w:eastAsia="Times New Roman" w:hAnsi="Times New Roman" w:cs="Times New Roman"/>
        </w:rPr>
        <w:t>(T2)</w:t>
      </w:r>
    </w:p>
    <w:p w14:paraId="645DE4B7" w14:textId="77777777" w:rsidR="00780386" w:rsidRDefault="00780386">
      <w:pPr>
        <w:ind w:left="720"/>
        <w:rPr>
          <w:rFonts w:ascii="Times New Roman" w:eastAsia="Times New Roman" w:hAnsi="Times New Roman" w:cs="Times New Roman"/>
        </w:rPr>
      </w:pPr>
    </w:p>
    <w:p w14:paraId="011C2291"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The statements above indicated that both teachers selected learning media flexibly and adapted to the material needs. Flashcards were the most commonly used media because they were easy to make, practical to use, and assisted students in visualizing the form and meaning of vocabulary. In some activities, teachers also used picture-based flashcards, such as images of places to help students describe objects or locations using vocabulary they had learned. This activity allowed students to connect vocabulary with visual context and practice using words in descriptive tasks. Amiruddin and Razaq (2022) mentioned how effective this tool is; they found that flashcards can improve vocabulary mastery, as the visual presentation allows students to more easily understand and remember words. Similarly, Fitriana et al. (2021) also highlighted that flashcards help strengthen students' memory and make the learning process more engaging.</w:t>
      </w:r>
    </w:p>
    <w:p w14:paraId="2F66BF3D" w14:textId="77777777" w:rsidR="00780386" w:rsidRDefault="00780386">
      <w:pPr>
        <w:rPr>
          <w:rFonts w:ascii="Times New Roman" w:eastAsia="Times New Roman" w:hAnsi="Times New Roman" w:cs="Times New Roman"/>
        </w:rPr>
      </w:pPr>
    </w:p>
    <w:p w14:paraId="13C3413C" w14:textId="77777777" w:rsidR="00780386" w:rsidRDefault="00C443EB">
      <w:pPr>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Challenges Faced by Teachers and How to Overcome Them </w:t>
      </w:r>
    </w:p>
    <w:p w14:paraId="44AA5102" w14:textId="77777777" w:rsidR="00780386" w:rsidRDefault="00C443EB">
      <w:pPr>
        <w:ind w:firstLine="0"/>
        <w:rPr>
          <w:rFonts w:ascii="Times New Roman" w:eastAsia="Times New Roman" w:hAnsi="Times New Roman" w:cs="Times New Roman"/>
        </w:rPr>
      </w:pPr>
      <w:r>
        <w:rPr>
          <w:rFonts w:ascii="Times New Roman" w:eastAsia="Times New Roman" w:hAnsi="Times New Roman" w:cs="Times New Roman"/>
        </w:rPr>
        <w:t>Despite the various strategies used, both teachers still faced a few challenges in their classroom implementation. These challenges were highlighted in the following statements.</w:t>
      </w:r>
    </w:p>
    <w:p w14:paraId="54F29061" w14:textId="77777777" w:rsidR="00780386" w:rsidRDefault="00780386">
      <w:pPr>
        <w:ind w:firstLine="0"/>
        <w:rPr>
          <w:rFonts w:ascii="Times New Roman" w:eastAsia="Times New Roman" w:hAnsi="Times New Roman" w:cs="Times New Roman"/>
        </w:rPr>
      </w:pPr>
    </w:p>
    <w:p w14:paraId="7899C8E1"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 xml:space="preserve">“The challenges I face are thinking of ways to </w:t>
      </w:r>
      <w:r>
        <w:rPr>
          <w:rFonts w:ascii="Times New Roman" w:eastAsia="Times New Roman" w:hAnsi="Times New Roman" w:cs="Times New Roman"/>
          <w:b/>
          <w:bCs/>
          <w:i/>
          <w:iCs/>
        </w:rPr>
        <w:t>get students to memorize</w:t>
      </w:r>
      <w:r>
        <w:rPr>
          <w:rFonts w:ascii="Times New Roman" w:eastAsia="Times New Roman" w:hAnsi="Times New Roman" w:cs="Times New Roman"/>
          <w:i/>
          <w:iCs/>
        </w:rPr>
        <w:t xml:space="preserve"> or do their assignments </w:t>
      </w:r>
      <w:r>
        <w:rPr>
          <w:rFonts w:ascii="Times New Roman" w:eastAsia="Times New Roman" w:hAnsi="Times New Roman" w:cs="Times New Roman"/>
          <w:b/>
          <w:bCs/>
          <w:i/>
          <w:iCs/>
        </w:rPr>
        <w:t>without looking at AI</w:t>
      </w:r>
      <w:r>
        <w:rPr>
          <w:rFonts w:ascii="Times New Roman" w:eastAsia="Times New Roman" w:hAnsi="Times New Roman" w:cs="Times New Roman"/>
          <w:i/>
          <w:iCs/>
        </w:rPr>
        <w:t xml:space="preserve">. For example, when making simple past tense sentences, they have to make them themselves without looking at AI. Sometimes, if they are not monitored, they look at </w:t>
      </w:r>
      <w:r>
        <w:rPr>
          <w:rFonts w:ascii="Times New Roman" w:eastAsia="Times New Roman" w:hAnsi="Times New Roman" w:cs="Times New Roman"/>
          <w:b/>
          <w:bCs/>
          <w:i/>
          <w:iCs/>
        </w:rPr>
        <w:t>Google or AI</w:t>
      </w:r>
      <w:r>
        <w:rPr>
          <w:rFonts w:ascii="Times New Roman" w:eastAsia="Times New Roman" w:hAnsi="Times New Roman" w:cs="Times New Roman"/>
          <w:i/>
          <w:iCs/>
        </w:rPr>
        <w:t xml:space="preserve">, because they will definitely </w:t>
      </w:r>
      <w:r>
        <w:rPr>
          <w:rFonts w:ascii="Times New Roman" w:eastAsia="Times New Roman" w:hAnsi="Times New Roman" w:cs="Times New Roman"/>
          <w:b/>
          <w:bCs/>
          <w:i/>
          <w:iCs/>
        </w:rPr>
        <w:t>copy instead of making them themselves</w:t>
      </w:r>
      <w:r>
        <w:rPr>
          <w:rFonts w:ascii="Times New Roman" w:eastAsia="Times New Roman" w:hAnsi="Times New Roman" w:cs="Times New Roman"/>
          <w:i/>
          <w:iCs/>
        </w:rPr>
        <w:t>.”</w:t>
      </w:r>
      <w:r>
        <w:rPr>
          <w:rFonts w:ascii="Times New Roman" w:eastAsia="Times New Roman" w:hAnsi="Times New Roman" w:cs="Times New Roman"/>
        </w:rPr>
        <w:t xml:space="preserve"> (T1)</w:t>
      </w:r>
    </w:p>
    <w:p w14:paraId="3EBC524E" w14:textId="77777777" w:rsidR="00780386" w:rsidRDefault="00780386">
      <w:pPr>
        <w:ind w:left="720" w:right="707" w:hanging="10"/>
        <w:rPr>
          <w:rFonts w:ascii="Times New Roman" w:eastAsia="Times New Roman" w:hAnsi="Times New Roman" w:cs="Times New Roman"/>
          <w:i/>
          <w:iCs/>
        </w:rPr>
      </w:pPr>
    </w:p>
    <w:p w14:paraId="59AE49D5"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 xml:space="preserve">"The challenge comes mostly from the </w:t>
      </w:r>
      <w:r>
        <w:rPr>
          <w:rFonts w:ascii="Times New Roman" w:eastAsia="Times New Roman" w:hAnsi="Times New Roman" w:cs="Times New Roman"/>
          <w:b/>
          <w:bCs/>
          <w:i/>
          <w:iCs/>
        </w:rPr>
        <w:t>students themselves</w:t>
      </w:r>
      <w:r>
        <w:rPr>
          <w:rFonts w:ascii="Times New Roman" w:eastAsia="Times New Roman" w:hAnsi="Times New Roman" w:cs="Times New Roman"/>
          <w:i/>
          <w:iCs/>
        </w:rPr>
        <w:t>. Sometimes it's difficult to</w:t>
      </w:r>
      <w:r>
        <w:rPr>
          <w:rFonts w:ascii="Times New Roman" w:eastAsia="Times New Roman" w:hAnsi="Times New Roman" w:cs="Times New Roman"/>
          <w:b/>
          <w:bCs/>
          <w:i/>
          <w:iCs/>
        </w:rPr>
        <w:t xml:space="preserve"> get them to focus</w:t>
      </w:r>
      <w:r>
        <w:rPr>
          <w:rFonts w:ascii="Times New Roman" w:eastAsia="Times New Roman" w:hAnsi="Times New Roman" w:cs="Times New Roman"/>
          <w:i/>
          <w:iCs/>
        </w:rPr>
        <w:t xml:space="preserve">; they have to be </w:t>
      </w:r>
      <w:r>
        <w:rPr>
          <w:rFonts w:ascii="Times New Roman" w:eastAsia="Times New Roman" w:hAnsi="Times New Roman" w:cs="Times New Roman"/>
          <w:b/>
          <w:bCs/>
          <w:i/>
          <w:iCs/>
        </w:rPr>
        <w:t>forced before they are willing to do</w:t>
      </w:r>
      <w:r>
        <w:rPr>
          <w:rFonts w:ascii="Times New Roman" w:eastAsia="Times New Roman" w:hAnsi="Times New Roman" w:cs="Times New Roman"/>
          <w:i/>
          <w:iCs/>
        </w:rPr>
        <w:t xml:space="preserve"> the work. And now many of them use their</w:t>
      </w:r>
      <w:r>
        <w:rPr>
          <w:rFonts w:ascii="Times New Roman" w:eastAsia="Times New Roman" w:hAnsi="Times New Roman" w:cs="Times New Roman"/>
          <w:b/>
          <w:bCs/>
          <w:i/>
          <w:iCs/>
        </w:rPr>
        <w:t xml:space="preserve"> cell phones to search for answers on the internet,</w:t>
      </w:r>
      <w:r>
        <w:rPr>
          <w:rFonts w:ascii="Times New Roman" w:eastAsia="Times New Roman" w:hAnsi="Times New Roman" w:cs="Times New Roman"/>
          <w:i/>
          <w:iCs/>
        </w:rPr>
        <w:t xml:space="preserve"> so sometimes it's </w:t>
      </w:r>
      <w:r>
        <w:rPr>
          <w:rFonts w:ascii="Times New Roman" w:eastAsia="Times New Roman" w:hAnsi="Times New Roman" w:cs="Times New Roman"/>
          <w:b/>
          <w:bCs/>
          <w:i/>
          <w:iCs/>
        </w:rPr>
        <w:t>not their own work</w:t>
      </w:r>
      <w:r>
        <w:rPr>
          <w:rFonts w:ascii="Times New Roman" w:eastAsia="Times New Roman" w:hAnsi="Times New Roman" w:cs="Times New Roman"/>
          <w:i/>
          <w:iCs/>
        </w:rPr>
        <w:t>."</w:t>
      </w:r>
      <w:r>
        <w:rPr>
          <w:rFonts w:ascii="Times New Roman" w:eastAsia="Times New Roman" w:hAnsi="Times New Roman" w:cs="Times New Roman"/>
        </w:rPr>
        <w:t xml:space="preserve"> (T2)</w:t>
      </w:r>
    </w:p>
    <w:p w14:paraId="0E5365DF" w14:textId="77777777" w:rsidR="00780386" w:rsidRDefault="00780386">
      <w:pPr>
        <w:ind w:left="720" w:right="566" w:hanging="10"/>
        <w:rPr>
          <w:rFonts w:ascii="Times New Roman" w:eastAsia="Times New Roman" w:hAnsi="Times New Roman" w:cs="Times New Roman"/>
        </w:rPr>
      </w:pPr>
    </w:p>
    <w:p w14:paraId="3077C84C"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 xml:space="preserve">The statements above revealed that the challenges in vocabulary learning were not only related to teaching strategies or media but also to students’ learning behavior and their use of technology. One teacher explained that many students tended to rely on AI or Google when completing assignments. For </w:t>
      </w:r>
      <w:r>
        <w:rPr>
          <w:rFonts w:ascii="Times New Roman" w:eastAsia="Times New Roman" w:hAnsi="Times New Roman" w:cs="Times New Roman"/>
        </w:rPr>
        <w:lastRenderedPageBreak/>
        <w:t xml:space="preserve">example, when students were asked to make simple past tense sentences, some of them preferred to copy answers from the internet instead of constructing the sentences by themselves. This reflected students’ tendency to seek instant answers without sufficient thought processes and showed limited learning independence. This observation aligned with Zhai et al. (2024), who argued that overuse of AI could reduce critical thinking skills and lead to students' shallow understanding due to lack of reflection while also increasing the risk of plagiarism. </w:t>
      </w:r>
    </w:p>
    <w:p w14:paraId="7E4BCC7E"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Similarly, another teacher mentioned related challenges. The teacher pointed out that some students struggled to maintain focus and only completed their assignments when they were under pressure or close supervision. Classroom observations also showed that when students were given tasks and were not closely monitored, some immediately used their cellphones to search for answers on the internet instead of completing the work independently. The use of cellphones to seek instant answers also prevented students' work from reflecting their actual abilities. This revealed that students had difficulties in regulating their learning process. This finding aligned with Sukma’s (2022) study, which showed that low self-regulated learning could lead students to lack concentration and discipline while increasing dependence on external assistance to complete assignments.</w:t>
      </w:r>
    </w:p>
    <w:p w14:paraId="3CF10984"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Moreover, to address these challenges, both teachers applied several ways to ensure that students stay focused and learn more independently. The teacher adjusted their strategies to prevent students’ dependence on instant answers and encourage them to understand the material through their own efforts. The attempts by the teachers can be seen in the following excerpt:</w:t>
      </w:r>
    </w:p>
    <w:p w14:paraId="0606DDA8" w14:textId="77777777" w:rsidR="00780386" w:rsidRDefault="00780386">
      <w:pPr>
        <w:rPr>
          <w:rFonts w:ascii="Times New Roman" w:eastAsia="Times New Roman" w:hAnsi="Times New Roman" w:cs="Times New Roman"/>
        </w:rPr>
      </w:pPr>
    </w:p>
    <w:p w14:paraId="50721B32"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“To overcome this, I simplify things by giving them examples of sentences based on activities they often do, so that it is easier for them to understand and create their own sentences.”</w:t>
      </w:r>
      <w:r>
        <w:rPr>
          <w:rFonts w:ascii="Times New Roman" w:eastAsia="Times New Roman" w:hAnsi="Times New Roman" w:cs="Times New Roman"/>
        </w:rPr>
        <w:t xml:space="preserve"> (T1)</w:t>
      </w:r>
    </w:p>
    <w:p w14:paraId="448A2A9A" w14:textId="77777777" w:rsidR="00780386" w:rsidRDefault="00780386">
      <w:pPr>
        <w:ind w:left="720" w:right="707" w:hanging="10"/>
        <w:rPr>
          <w:rFonts w:ascii="Times New Roman" w:eastAsia="Times New Roman" w:hAnsi="Times New Roman" w:cs="Times New Roman"/>
        </w:rPr>
      </w:pPr>
    </w:p>
    <w:p w14:paraId="03911CD5" w14:textId="77777777" w:rsidR="00780386" w:rsidRDefault="00C443EB">
      <w:pPr>
        <w:ind w:left="720" w:right="707" w:hanging="10"/>
        <w:rPr>
          <w:rFonts w:ascii="Times New Roman" w:eastAsia="Times New Roman" w:hAnsi="Times New Roman" w:cs="Times New Roman"/>
        </w:rPr>
      </w:pPr>
      <w:r>
        <w:rPr>
          <w:rFonts w:ascii="Times New Roman" w:eastAsia="Times New Roman" w:hAnsi="Times New Roman" w:cs="Times New Roman"/>
          <w:i/>
          <w:iCs/>
        </w:rPr>
        <w:t>“I am usually more assertive when teaching, creating interesting activities to keep them focused, and asking them to create their own sentences without looking at their cell phones. If anyone doesn't understand, I will explain it again in a simple way.”</w:t>
      </w:r>
      <w:r>
        <w:rPr>
          <w:rFonts w:ascii="Times New Roman" w:eastAsia="Times New Roman" w:hAnsi="Times New Roman" w:cs="Times New Roman"/>
        </w:rPr>
        <w:t xml:space="preserve"> (T2)</w:t>
      </w:r>
    </w:p>
    <w:p w14:paraId="710BC468" w14:textId="77777777" w:rsidR="00780386" w:rsidRDefault="00780386">
      <w:pPr>
        <w:ind w:left="720"/>
        <w:rPr>
          <w:rFonts w:ascii="Times New Roman" w:eastAsia="Times New Roman" w:hAnsi="Times New Roman" w:cs="Times New Roman"/>
        </w:rPr>
      </w:pPr>
    </w:p>
    <w:p w14:paraId="6B7AD05A"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 xml:space="preserve">From the teachers' statements, it appeared that they used different strategies but complemented each other to assist students in understanding the material rather than depend on instant answers provided by the internet. The first teacher attempted to simplify the material by providing sentence examples related to students’ daily activities and vocational contexts that were familiar to their major. For example, students were encouraged to create simple past tense sentences based on activities they commonly performed in school or practical learning settings. This approach allowed students to more easily understand sentence structures and encouraged them to construct their own examples. As proposed by Karimah et al. (2022), who stated that when the material was related to real situations familiar to students, they became more active, understood the meaning of words better, and were able to use vocabulary more appropriately. </w:t>
      </w:r>
    </w:p>
    <w:p w14:paraId="6197EF39"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 xml:space="preserve">Meanwhile, the second teacher used a more explicit and structured approach. The teacher designed activities that would attract students' attention and keep them focused, as well as ensure that they constructed sentences independently instead of depending on their mobile phones. When the students did not understand, the teacher offered repeated explanations in a simplified way. This is aligned with </w:t>
      </w:r>
      <w:proofErr w:type="spellStart"/>
      <w:r>
        <w:rPr>
          <w:rFonts w:ascii="Times New Roman" w:eastAsia="Times New Roman" w:hAnsi="Times New Roman" w:cs="Times New Roman"/>
        </w:rPr>
        <w:t>Yongli</w:t>
      </w:r>
      <w:proofErr w:type="spellEnd"/>
      <w:r>
        <w:rPr>
          <w:rFonts w:ascii="Times New Roman" w:eastAsia="Times New Roman" w:hAnsi="Times New Roman" w:cs="Times New Roman"/>
        </w:rPr>
        <w:t xml:space="preserve"> Wan's (2022) scaffolding strategy, where the teachers provided step-by-step support through instructions, extra explanations, and guided activities to help the students understand the vocabulary more effectively.</w:t>
      </w:r>
    </w:p>
    <w:p w14:paraId="1CC15884" w14:textId="77777777" w:rsidR="00780386" w:rsidRDefault="00780386">
      <w:pPr>
        <w:rPr>
          <w:rFonts w:ascii="Times New Roman" w:eastAsia="Times New Roman" w:hAnsi="Times New Roman" w:cs="Times New Roman"/>
        </w:rPr>
      </w:pPr>
    </w:p>
    <w:p w14:paraId="406D8EA1" w14:textId="77777777" w:rsidR="00780386" w:rsidRDefault="00C443EB">
      <w:pPr>
        <w:pBdr>
          <w:top w:val="nil"/>
          <w:left w:val="nil"/>
          <w:bottom w:val="none" w:sz="0" w:space="0" w:color="000000"/>
          <w:right w:val="nil"/>
          <w:between w:val="nil"/>
        </w:pBdr>
        <w:spacing w:after="240"/>
        <w:ind w:firstLine="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CONCLUSIONS</w:t>
      </w:r>
    </w:p>
    <w:p w14:paraId="460585B0" w14:textId="77777777" w:rsidR="00780386" w:rsidRDefault="00C443EB">
      <w:pPr>
        <w:ind w:firstLine="0"/>
        <w:rPr>
          <w:rFonts w:ascii="Times New Roman" w:eastAsia="Times New Roman" w:hAnsi="Times New Roman" w:cs="Times New Roman"/>
        </w:rPr>
      </w:pPr>
      <w:r>
        <w:rPr>
          <w:rFonts w:ascii="Times New Roman" w:eastAsia="Times New Roman" w:hAnsi="Times New Roman" w:cs="Times New Roman"/>
        </w:rPr>
        <w:t xml:space="preserve">This research concluded that teachers at SMK Bina Karya 2 Karawang applied various vocabulary teaching strategies adapted based on the students' characteristics, needs, and ability levels. The most </w:t>
      </w:r>
      <w:r>
        <w:rPr>
          <w:rFonts w:ascii="Times New Roman" w:eastAsia="Times New Roman" w:hAnsi="Times New Roman" w:cs="Times New Roman"/>
        </w:rPr>
        <w:lastRenderedPageBreak/>
        <w:t>commonly used strategies included memorization, direct translation, repetition, role play, Hangman games, differentiated learning, and social-emotional learning (SEL) activities. These strategies helped teachers convey the meaning of words, strengthen students' memory, and increase student engagement in the learning process. Additionally, the use of flashcards also supported students in visualizing and memorizing vocabulary effectively. Although these strategies have proved effective in expanding students' vocabulary in a vocational context, the teachers still faced several challenges, which included maintaining students' focus, differences in students' abilities, and students’ dependence on mobile phones and AI for instant answers. To address these challenges, teachers simplified the material, provided step-by-step explanations, and planned learning activities that encouraged students to think independently.</w:t>
      </w:r>
    </w:p>
    <w:p w14:paraId="5CE68A8D" w14:textId="77777777" w:rsidR="00780386" w:rsidRDefault="00C443EB">
      <w:pPr>
        <w:rPr>
          <w:rFonts w:ascii="Times New Roman" w:eastAsia="Times New Roman" w:hAnsi="Times New Roman" w:cs="Times New Roman"/>
        </w:rPr>
      </w:pPr>
      <w:r>
        <w:rPr>
          <w:rFonts w:ascii="Times New Roman" w:eastAsia="Times New Roman" w:hAnsi="Times New Roman" w:cs="Times New Roman"/>
        </w:rPr>
        <w:t>Considering the limited scope of this study, it is suggested that future research involve more participants and diverse contexts to identify the most effective vocabulary teaching strategies. Additional research could explore the effective use of technology and learning media to support vocabulary acquisition and improve students’ self-regulation skills. In addition, continued research could investigate comprehensive approaches to address challenges related to the use of cell phones and students’ dependence on technological resources during the learning process.</w:t>
      </w:r>
    </w:p>
    <w:p w14:paraId="135E265B" w14:textId="77777777" w:rsidR="00780386" w:rsidRDefault="00780386">
      <w:pPr>
        <w:ind w:firstLine="0"/>
        <w:rPr>
          <w:rFonts w:ascii="Times New Roman" w:eastAsia="Times New Roman" w:hAnsi="Times New Roman" w:cs="Times New Roman"/>
        </w:rPr>
      </w:pPr>
    </w:p>
    <w:p w14:paraId="1DF23073" w14:textId="77777777" w:rsidR="00780386" w:rsidRDefault="00C443EB">
      <w:pPr>
        <w:pBdr>
          <w:top w:val="nil"/>
          <w:left w:val="nil"/>
          <w:bottom w:val="none" w:sz="0" w:space="0" w:color="000000"/>
          <w:right w:val="nil"/>
          <w:between w:val="nil"/>
        </w:pBdr>
        <w:spacing w:before="240" w:after="120"/>
        <w:ind w:firstLine="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REFERENCES</w:t>
      </w:r>
    </w:p>
    <w:p w14:paraId="6F3978E0"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highlight w:val="white"/>
        </w:rPr>
        <w:t>Al Dikstaal, H. S. (2021). The development of English material for the eleventh graders of the business marketing program.</w:t>
      </w:r>
      <w:r>
        <w:rPr>
          <w:rFonts w:ascii="Times New Roman" w:eastAsia="Times New Roman" w:hAnsi="Times New Roman" w:cs="Times New Roman"/>
          <w:i/>
          <w:iCs/>
          <w:highlight w:val="white"/>
        </w:rPr>
        <w:t xml:space="preserve"> Journal of Research in English Language Teaching</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9</w:t>
      </w:r>
      <w:r>
        <w:rPr>
          <w:rFonts w:ascii="Times New Roman" w:eastAsia="Times New Roman" w:hAnsi="Times New Roman" w:cs="Times New Roman"/>
          <w:highlight w:val="white"/>
        </w:rPr>
        <w:t xml:space="preserve">(1), 53–62. </w:t>
      </w:r>
      <w:hyperlink r:id="rId12">
        <w:r>
          <w:rPr>
            <w:rFonts w:ascii="Times New Roman" w:eastAsia="Times New Roman" w:hAnsi="Times New Roman" w:cs="Times New Roman"/>
            <w:highlight w:val="white"/>
            <w:u w:val="single"/>
          </w:rPr>
          <w:t>https://ejournal.unesa.ac.id/index.php/retain/article/view/35878</w:t>
        </w:r>
      </w:hyperlink>
      <w:r>
        <w:rPr>
          <w:rFonts w:ascii="Times New Roman" w:eastAsia="Times New Roman" w:hAnsi="Times New Roman" w:cs="Times New Roman"/>
          <w:highlight w:val="white"/>
        </w:rPr>
        <w:t xml:space="preserve"> </w:t>
      </w:r>
    </w:p>
    <w:p w14:paraId="0ADF260F"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Alifah, N., Rokan, M. S., Aini, R., Fauzi, R., &amp; Asna, A. (2025). </w:t>
      </w:r>
      <w:proofErr w:type="spellStart"/>
      <w:r>
        <w:rPr>
          <w:rFonts w:ascii="Times New Roman" w:eastAsia="Times New Roman" w:hAnsi="Times New Roman" w:cs="Times New Roman"/>
          <w:highlight w:val="white"/>
        </w:rPr>
        <w:t>Pentingnya</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memahami</w:t>
      </w:r>
      <w:proofErr w:type="spellEnd"/>
      <w:r>
        <w:rPr>
          <w:rFonts w:ascii="Times New Roman" w:eastAsia="Times New Roman" w:hAnsi="Times New Roman" w:cs="Times New Roman"/>
          <w:highlight w:val="white"/>
        </w:rPr>
        <w:t xml:space="preserve"> ragam </w:t>
      </w:r>
      <w:proofErr w:type="spellStart"/>
      <w:r>
        <w:rPr>
          <w:rFonts w:ascii="Times New Roman" w:eastAsia="Times New Roman" w:hAnsi="Times New Roman" w:cs="Times New Roman"/>
          <w:highlight w:val="white"/>
        </w:rPr>
        <w:t>karakteristik</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peserta</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didik</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dalam</w:t>
      </w:r>
      <w:proofErr w:type="spellEnd"/>
      <w:r>
        <w:rPr>
          <w:rFonts w:ascii="Times New Roman" w:eastAsia="Times New Roman" w:hAnsi="Times New Roman" w:cs="Times New Roman"/>
          <w:highlight w:val="white"/>
        </w:rPr>
        <w:t xml:space="preserve"> proses </w:t>
      </w:r>
      <w:proofErr w:type="spellStart"/>
      <w:r>
        <w:rPr>
          <w:rFonts w:ascii="Times New Roman" w:eastAsia="Times New Roman" w:hAnsi="Times New Roman" w:cs="Times New Roman"/>
          <w:highlight w:val="white"/>
        </w:rPr>
        <w:t>pembelajaran</w:t>
      </w:r>
      <w:proofErr w:type="spellEnd"/>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Student Research Journal, 3</w:t>
      </w:r>
      <w:r>
        <w:rPr>
          <w:rFonts w:ascii="Times New Roman" w:eastAsia="Times New Roman" w:hAnsi="Times New Roman" w:cs="Times New Roman"/>
          <w:highlight w:val="white"/>
        </w:rPr>
        <w:t xml:space="preserve">(1), 154–160. </w:t>
      </w:r>
      <w:hyperlink r:id="rId13">
        <w:r>
          <w:rPr>
            <w:rFonts w:ascii="Times New Roman" w:eastAsia="Times New Roman" w:hAnsi="Times New Roman" w:cs="Times New Roman"/>
            <w:highlight w:val="white"/>
            <w:u w:val="single"/>
          </w:rPr>
          <w:t>https://doi.org/10.55606/srj-yappi.v3i1.1711</w:t>
        </w:r>
      </w:hyperlink>
      <w:r>
        <w:rPr>
          <w:rFonts w:ascii="Times New Roman" w:eastAsia="Times New Roman" w:hAnsi="Times New Roman" w:cs="Times New Roman"/>
          <w:highlight w:val="white"/>
        </w:rPr>
        <w:t xml:space="preserve"> </w:t>
      </w:r>
    </w:p>
    <w:p w14:paraId="2DC3CA84"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Alshaikhi</w:t>
      </w:r>
      <w:proofErr w:type="spellEnd"/>
      <w:r>
        <w:rPr>
          <w:rFonts w:ascii="Times New Roman" w:eastAsia="Times New Roman" w:hAnsi="Times New Roman" w:cs="Times New Roman"/>
        </w:rPr>
        <w:t xml:space="preserve">, T. (2022). Translation as a language learning tool: the impact of translation practices on the vocabulary knowledge of Saudi EFL learners. </w:t>
      </w:r>
      <w:r>
        <w:rPr>
          <w:rFonts w:ascii="Times New Roman" w:eastAsia="Times New Roman" w:hAnsi="Times New Roman" w:cs="Times New Roman"/>
          <w:i/>
          <w:iCs/>
          <w:rtl/>
        </w:rPr>
        <w:t>مجلة کلية الآداب بالوادي الجديد</w:t>
      </w:r>
      <w:r>
        <w:rPr>
          <w:rFonts w:ascii="Times New Roman" w:eastAsia="Times New Roman" w:hAnsi="Times New Roman" w:cs="Times New Roman"/>
        </w:rPr>
        <w:t xml:space="preserve">. </w:t>
      </w:r>
      <w:hyperlink r:id="rId14">
        <w:r>
          <w:rPr>
            <w:rFonts w:ascii="Times New Roman" w:eastAsia="Times New Roman" w:hAnsi="Times New Roman" w:cs="Times New Roman"/>
            <w:u w:val="single"/>
          </w:rPr>
          <w:t>https://doi.org/10.21608/mkwn.2022.231066</w:t>
        </w:r>
      </w:hyperlink>
      <w:r>
        <w:rPr>
          <w:rFonts w:ascii="Times New Roman" w:eastAsia="Times New Roman" w:hAnsi="Times New Roman" w:cs="Times New Roman"/>
        </w:rPr>
        <w:t>.</w:t>
      </w:r>
    </w:p>
    <w:p w14:paraId="4B3D0537"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Amar, N., </w:t>
      </w:r>
      <w:proofErr w:type="spellStart"/>
      <w:r>
        <w:rPr>
          <w:rFonts w:ascii="Times New Roman" w:eastAsia="Times New Roman" w:hAnsi="Times New Roman" w:cs="Times New Roman"/>
        </w:rPr>
        <w:t>Lasunra</w:t>
      </w:r>
      <w:proofErr w:type="spellEnd"/>
      <w:r>
        <w:rPr>
          <w:rFonts w:ascii="Times New Roman" w:eastAsia="Times New Roman" w:hAnsi="Times New Roman" w:cs="Times New Roman"/>
        </w:rPr>
        <w:t xml:space="preserve">, L., &amp; Aeni, N. (2025). Enhancing students’ vocabulary mastery by using differentiated instruction in SMAN 7 </w:t>
      </w:r>
      <w:proofErr w:type="spellStart"/>
      <w:r>
        <w:rPr>
          <w:rFonts w:ascii="Times New Roman" w:eastAsia="Times New Roman" w:hAnsi="Times New Roman" w:cs="Times New Roman"/>
        </w:rPr>
        <w:t>soppeng</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ELS Journal on Interdisciplinary Studies in Humanities</w:t>
      </w:r>
      <w:r>
        <w:rPr>
          <w:rFonts w:ascii="Times New Roman" w:eastAsia="Times New Roman" w:hAnsi="Times New Roman" w:cs="Times New Roman"/>
        </w:rPr>
        <w:t xml:space="preserve">, </w:t>
      </w:r>
      <w:r>
        <w:rPr>
          <w:rFonts w:ascii="Times New Roman" w:eastAsia="Times New Roman" w:hAnsi="Times New Roman" w:cs="Times New Roman"/>
          <w:i/>
          <w:iCs/>
        </w:rPr>
        <w:t>8</w:t>
      </w:r>
      <w:r>
        <w:rPr>
          <w:rFonts w:ascii="Times New Roman" w:eastAsia="Times New Roman" w:hAnsi="Times New Roman" w:cs="Times New Roman"/>
        </w:rPr>
        <w:t xml:space="preserve">(2), 681–686. </w:t>
      </w:r>
      <w:hyperlink r:id="rId15">
        <w:r>
          <w:rPr>
            <w:rFonts w:ascii="Times New Roman" w:eastAsia="Times New Roman" w:hAnsi="Times New Roman" w:cs="Times New Roman"/>
            <w:u w:val="single"/>
          </w:rPr>
          <w:t>https://doi.org/10.34050/els-jish.v8i2.45028</w:t>
        </w:r>
      </w:hyperlink>
      <w:r>
        <w:rPr>
          <w:rFonts w:ascii="Times New Roman" w:eastAsia="Times New Roman" w:hAnsi="Times New Roman" w:cs="Times New Roman"/>
        </w:rPr>
        <w:t xml:space="preserve"> </w:t>
      </w:r>
    </w:p>
    <w:p w14:paraId="7EFDF1F5"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Amiruddin, A., &amp; Razaq, Y. (2022). The use of flashcards to improve students’ vocabulary achievement. </w:t>
      </w:r>
      <w:r>
        <w:rPr>
          <w:rFonts w:ascii="Times New Roman" w:eastAsia="Times New Roman" w:hAnsi="Times New Roman" w:cs="Times New Roman"/>
          <w:i/>
          <w:iCs/>
        </w:rPr>
        <w:t>ETDC: Indonesian Journal of Research and Educational Review</w:t>
      </w:r>
      <w:r>
        <w:rPr>
          <w:rFonts w:ascii="Times New Roman" w:eastAsia="Times New Roman" w:hAnsi="Times New Roman" w:cs="Times New Roman"/>
        </w:rPr>
        <w:t xml:space="preserve">, </w:t>
      </w:r>
      <w:r>
        <w:rPr>
          <w:rFonts w:ascii="Times New Roman" w:eastAsia="Times New Roman" w:hAnsi="Times New Roman" w:cs="Times New Roman"/>
          <w:i/>
          <w:iCs/>
        </w:rPr>
        <w:t>1</w:t>
      </w:r>
      <w:r>
        <w:rPr>
          <w:rFonts w:ascii="Times New Roman" w:eastAsia="Times New Roman" w:hAnsi="Times New Roman" w:cs="Times New Roman"/>
        </w:rPr>
        <w:t xml:space="preserve">(2), 145–151. </w:t>
      </w:r>
      <w:hyperlink r:id="rId16">
        <w:r>
          <w:rPr>
            <w:rFonts w:ascii="Times New Roman" w:eastAsia="Times New Roman" w:hAnsi="Times New Roman" w:cs="Times New Roman"/>
            <w:u w:val="single"/>
          </w:rPr>
          <w:t>https://doi.org/10.51574/ijrer.v1i2.332</w:t>
        </w:r>
      </w:hyperlink>
      <w:r>
        <w:rPr>
          <w:rFonts w:ascii="Times New Roman" w:eastAsia="Times New Roman" w:hAnsi="Times New Roman" w:cs="Times New Roman"/>
        </w:rPr>
        <w:t xml:space="preserve"> </w:t>
      </w:r>
    </w:p>
    <w:p w14:paraId="6F38422E"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rPr>
        <w:t xml:space="preserve">Andriani, R., &amp; </w:t>
      </w:r>
      <w:proofErr w:type="spellStart"/>
      <w:r>
        <w:rPr>
          <w:rFonts w:ascii="Times New Roman" w:eastAsia="Times New Roman" w:hAnsi="Times New Roman" w:cs="Times New Roman"/>
        </w:rPr>
        <w:t>Widiastuty</w:t>
      </w:r>
      <w:proofErr w:type="spellEnd"/>
      <w:r>
        <w:rPr>
          <w:rFonts w:ascii="Times New Roman" w:eastAsia="Times New Roman" w:hAnsi="Times New Roman" w:cs="Times New Roman"/>
        </w:rPr>
        <w:t xml:space="preserve">, H. (2020). Teacher strategies in teaching English vocabulary to young learners at SDN </w:t>
      </w:r>
      <w:proofErr w:type="spellStart"/>
      <w:r>
        <w:rPr>
          <w:rFonts w:ascii="Times New Roman" w:eastAsia="Times New Roman" w:hAnsi="Times New Roman" w:cs="Times New Roman"/>
        </w:rPr>
        <w:t>Percobaan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Palangka</w:t>
      </w:r>
      <w:proofErr w:type="spellEnd"/>
      <w:r>
        <w:rPr>
          <w:rFonts w:ascii="Times New Roman" w:eastAsia="Times New Roman" w:hAnsi="Times New Roman" w:cs="Times New Roman"/>
        </w:rPr>
        <w:t xml:space="preserve"> Raya. </w:t>
      </w:r>
      <w:r>
        <w:rPr>
          <w:rFonts w:ascii="Times New Roman" w:eastAsia="Times New Roman" w:hAnsi="Times New Roman" w:cs="Times New Roman"/>
          <w:i/>
          <w:iCs/>
        </w:rPr>
        <w:t>Journal of English Education, 5</w:t>
      </w:r>
      <w:r>
        <w:rPr>
          <w:rFonts w:ascii="Times New Roman" w:eastAsia="Times New Roman" w:hAnsi="Times New Roman" w:cs="Times New Roman"/>
        </w:rPr>
        <w:t xml:space="preserve">(2), 265–275. </w:t>
      </w:r>
      <w:hyperlink r:id="rId17">
        <w:r>
          <w:rPr>
            <w:rFonts w:ascii="Times New Roman" w:eastAsia="Times New Roman" w:hAnsi="Times New Roman" w:cs="Times New Roman"/>
            <w:u w:val="single"/>
          </w:rPr>
          <w:t>https://doi.org/10.5281/zenodo.4112264</w:t>
        </w:r>
      </w:hyperlink>
      <w:r>
        <w:rPr>
          <w:rFonts w:ascii="Times New Roman" w:eastAsia="Times New Roman" w:hAnsi="Times New Roman" w:cs="Times New Roman"/>
        </w:rPr>
        <w:t xml:space="preserve"> </w:t>
      </w:r>
    </w:p>
    <w:p w14:paraId="5C4FDA6B"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highlight w:val="white"/>
        </w:rPr>
        <w:t>Apriliana</w:t>
      </w:r>
      <w:proofErr w:type="spellEnd"/>
      <w:r>
        <w:rPr>
          <w:rFonts w:ascii="Times New Roman" w:eastAsia="Times New Roman" w:hAnsi="Times New Roman" w:cs="Times New Roman"/>
          <w:highlight w:val="white"/>
        </w:rPr>
        <w:t xml:space="preserve">, N., &amp; </w:t>
      </w:r>
      <w:proofErr w:type="spellStart"/>
      <w:r>
        <w:rPr>
          <w:rFonts w:ascii="Times New Roman" w:eastAsia="Times New Roman" w:hAnsi="Times New Roman" w:cs="Times New Roman"/>
          <w:highlight w:val="white"/>
        </w:rPr>
        <w:t>Basikin</w:t>
      </w:r>
      <w:proofErr w:type="spellEnd"/>
      <w:r>
        <w:rPr>
          <w:rFonts w:ascii="Times New Roman" w:eastAsia="Times New Roman" w:hAnsi="Times New Roman" w:cs="Times New Roman"/>
          <w:highlight w:val="white"/>
        </w:rPr>
        <w:t xml:space="preserve">, B. (2021). Vocational high school students’ perception in learning English and its relation to their career aspiration in Yogyakarta. </w:t>
      </w:r>
      <w:proofErr w:type="spellStart"/>
      <w:r>
        <w:rPr>
          <w:rFonts w:ascii="Times New Roman" w:eastAsia="Times New Roman" w:hAnsi="Times New Roman" w:cs="Times New Roman"/>
          <w:i/>
          <w:iCs/>
          <w:highlight w:val="white"/>
        </w:rPr>
        <w:t>Eralingua</w:t>
      </w:r>
      <w:proofErr w:type="spellEnd"/>
      <w:r>
        <w:rPr>
          <w:rFonts w:ascii="Times New Roman" w:eastAsia="Times New Roman" w:hAnsi="Times New Roman" w:cs="Times New Roman"/>
          <w:i/>
          <w:iCs/>
          <w:highlight w:val="white"/>
        </w:rPr>
        <w:t xml:space="preserve">: </w:t>
      </w:r>
      <w:proofErr w:type="spellStart"/>
      <w:r>
        <w:rPr>
          <w:rFonts w:ascii="Times New Roman" w:eastAsia="Times New Roman" w:hAnsi="Times New Roman" w:cs="Times New Roman"/>
          <w:i/>
          <w:iCs/>
          <w:highlight w:val="white"/>
        </w:rPr>
        <w:t>Jurnal</w:t>
      </w:r>
      <w:proofErr w:type="spellEnd"/>
      <w:r>
        <w:rPr>
          <w:rFonts w:ascii="Times New Roman" w:eastAsia="Times New Roman" w:hAnsi="Times New Roman" w:cs="Times New Roman"/>
          <w:i/>
          <w:iCs/>
          <w:highlight w:val="white"/>
        </w:rPr>
        <w:t xml:space="preserve"> Pendidikan Bahasa Asing Dan Sastra</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5</w:t>
      </w:r>
      <w:r>
        <w:rPr>
          <w:rFonts w:ascii="Times New Roman" w:eastAsia="Times New Roman" w:hAnsi="Times New Roman" w:cs="Times New Roman"/>
          <w:highlight w:val="white"/>
        </w:rPr>
        <w:t xml:space="preserve">(1), 189. </w:t>
      </w:r>
      <w:hyperlink r:id="rId18">
        <w:r>
          <w:rPr>
            <w:rFonts w:ascii="Times New Roman" w:eastAsia="Times New Roman" w:hAnsi="Times New Roman" w:cs="Times New Roman"/>
            <w:highlight w:val="white"/>
            <w:u w:val="single"/>
          </w:rPr>
          <w:t>https://doi.org/10.26858/eralingua.v5i1.13783</w:t>
        </w:r>
      </w:hyperlink>
      <w:r>
        <w:rPr>
          <w:rFonts w:ascii="Times New Roman" w:eastAsia="Times New Roman" w:hAnsi="Times New Roman" w:cs="Times New Roman"/>
          <w:highlight w:val="white"/>
        </w:rPr>
        <w:t xml:space="preserve"> </w:t>
      </w:r>
    </w:p>
    <w:p w14:paraId="7E7B1083"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Arini, A. R., &amp; </w:t>
      </w:r>
      <w:proofErr w:type="spellStart"/>
      <w:r>
        <w:rPr>
          <w:rFonts w:ascii="Times New Roman" w:eastAsia="Times New Roman" w:hAnsi="Times New Roman" w:cs="Times New Roman"/>
        </w:rPr>
        <w:t>Suwarso</w:t>
      </w:r>
      <w:proofErr w:type="spellEnd"/>
      <w:r>
        <w:rPr>
          <w:rFonts w:ascii="Times New Roman" w:eastAsia="Times New Roman" w:hAnsi="Times New Roman" w:cs="Times New Roman"/>
        </w:rPr>
        <w:t xml:space="preserve">, P. N. (2024). EFL students’ perception towards the use of </w:t>
      </w:r>
      <w:proofErr w:type="spellStart"/>
      <w:r>
        <w:rPr>
          <w:rFonts w:ascii="Times New Roman" w:eastAsia="Times New Roman" w:hAnsi="Times New Roman" w:cs="Times New Roman"/>
        </w:rPr>
        <w:t>baamboozle</w:t>
      </w:r>
      <w:proofErr w:type="spellEnd"/>
      <w:r>
        <w:rPr>
          <w:rFonts w:ascii="Times New Roman" w:eastAsia="Times New Roman" w:hAnsi="Times New Roman" w:cs="Times New Roman"/>
        </w:rPr>
        <w:t xml:space="preserve"> for vocabulary learning. </w:t>
      </w:r>
      <w:proofErr w:type="spellStart"/>
      <w:r>
        <w:rPr>
          <w:rFonts w:ascii="Times New Roman" w:eastAsia="Times New Roman" w:hAnsi="Times New Roman" w:cs="Times New Roman"/>
          <w:i/>
          <w:iCs/>
        </w:rPr>
        <w:t>Eltin</w:t>
      </w:r>
      <w:proofErr w:type="spellEnd"/>
      <w:r>
        <w:rPr>
          <w:rFonts w:ascii="Times New Roman" w:eastAsia="Times New Roman" w:hAnsi="Times New Roman" w:cs="Times New Roman"/>
          <w:i/>
          <w:iCs/>
        </w:rPr>
        <w:t xml:space="preserve"> Journal: Journal of English Language Teaching in Indonesia, 12(1)</w:t>
      </w:r>
      <w:r>
        <w:rPr>
          <w:rFonts w:ascii="Times New Roman" w:eastAsia="Times New Roman" w:hAnsi="Times New Roman" w:cs="Times New Roman"/>
        </w:rPr>
        <w:t xml:space="preserve">, 97-110. </w:t>
      </w:r>
      <w:hyperlink r:id="rId19">
        <w:r>
          <w:rPr>
            <w:rFonts w:ascii="Times New Roman" w:eastAsia="Times New Roman" w:hAnsi="Times New Roman" w:cs="Times New Roman"/>
            <w:u w:val="single"/>
          </w:rPr>
          <w:t>https://e-journal.stkipsiliwangi.ac.id/index.php/eltin/article/view/4674</w:t>
        </w:r>
      </w:hyperlink>
      <w:r>
        <w:rPr>
          <w:rFonts w:ascii="Times New Roman" w:eastAsia="Times New Roman" w:hAnsi="Times New Roman" w:cs="Times New Roman"/>
        </w:rPr>
        <w:t xml:space="preserve"> </w:t>
      </w:r>
    </w:p>
    <w:p w14:paraId="52356308"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Azisa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Sahril</w:t>
      </w:r>
      <w:proofErr w:type="spellEnd"/>
      <w:r>
        <w:rPr>
          <w:rFonts w:ascii="Times New Roman" w:eastAsia="Times New Roman" w:hAnsi="Times New Roman" w:cs="Times New Roman"/>
        </w:rPr>
        <w:t xml:space="preserve">, S., Abdullah, A., &amp; Tahir, M. (2025). An analysis of teacher teaching strategies used to motivate students in learning English vocabulary. </w:t>
      </w:r>
      <w:proofErr w:type="spellStart"/>
      <w:r>
        <w:rPr>
          <w:rFonts w:ascii="Times New Roman" w:eastAsia="Times New Roman" w:hAnsi="Times New Roman" w:cs="Times New Roman"/>
          <w:i/>
          <w:iCs/>
        </w:rPr>
        <w:t>Klasikal</w:t>
      </w:r>
      <w:proofErr w:type="spellEnd"/>
      <w:r>
        <w:rPr>
          <w:rFonts w:ascii="Times New Roman" w:eastAsia="Times New Roman" w:hAnsi="Times New Roman" w:cs="Times New Roman"/>
          <w:i/>
          <w:iCs/>
        </w:rPr>
        <w:t>: Journal of Education, Language Teaching and Science, 7(</w:t>
      </w:r>
      <w:r>
        <w:rPr>
          <w:rFonts w:ascii="Times New Roman" w:eastAsia="Times New Roman" w:hAnsi="Times New Roman" w:cs="Times New Roman"/>
        </w:rPr>
        <w:t xml:space="preserve">1), 347–360. </w:t>
      </w:r>
      <w:hyperlink r:id="rId20">
        <w:r>
          <w:rPr>
            <w:rFonts w:ascii="Times New Roman" w:eastAsia="Times New Roman" w:hAnsi="Times New Roman" w:cs="Times New Roman"/>
            <w:u w:val="single"/>
          </w:rPr>
          <w:t>https://doi.org/10.52208/klasikal.v7i1.1300</w:t>
        </w:r>
      </w:hyperlink>
      <w:r>
        <w:rPr>
          <w:rFonts w:ascii="Times New Roman" w:eastAsia="Times New Roman" w:hAnsi="Times New Roman" w:cs="Times New Roman"/>
        </w:rPr>
        <w:t xml:space="preserve"> </w:t>
      </w:r>
    </w:p>
    <w:p w14:paraId="6525040B"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Azzahra, S., &amp; </w:t>
      </w:r>
      <w:proofErr w:type="spellStart"/>
      <w:r>
        <w:rPr>
          <w:rFonts w:ascii="Times New Roman" w:eastAsia="Times New Roman" w:hAnsi="Times New Roman" w:cs="Times New Roman"/>
        </w:rPr>
        <w:t>Kaniadewi</w:t>
      </w:r>
      <w:proofErr w:type="spellEnd"/>
      <w:r>
        <w:rPr>
          <w:rFonts w:ascii="Times New Roman" w:eastAsia="Times New Roman" w:hAnsi="Times New Roman" w:cs="Times New Roman"/>
        </w:rPr>
        <w:t xml:space="preserve">, N. (2025). Building vocabulary in primary school students using contextual teaching learning models. </w:t>
      </w:r>
      <w:proofErr w:type="spellStart"/>
      <w:r>
        <w:rPr>
          <w:rFonts w:ascii="Times New Roman" w:eastAsia="Times New Roman" w:hAnsi="Times New Roman" w:cs="Times New Roman"/>
          <w:i/>
          <w:iCs/>
        </w:rPr>
        <w:t>Cokroaminoto</w:t>
      </w:r>
      <w:proofErr w:type="spellEnd"/>
      <w:r>
        <w:rPr>
          <w:rFonts w:ascii="Times New Roman" w:eastAsia="Times New Roman" w:hAnsi="Times New Roman" w:cs="Times New Roman"/>
          <w:i/>
          <w:iCs/>
        </w:rPr>
        <w:t xml:space="preserve"> Journal of Primary Education, 8</w:t>
      </w:r>
      <w:r>
        <w:rPr>
          <w:rFonts w:ascii="Times New Roman" w:eastAsia="Times New Roman" w:hAnsi="Times New Roman" w:cs="Times New Roman"/>
        </w:rPr>
        <w:t xml:space="preserve">(2), 1090–1100. </w:t>
      </w:r>
      <w:hyperlink r:id="rId21">
        <w:r>
          <w:rPr>
            <w:rFonts w:ascii="Times New Roman" w:eastAsia="Times New Roman" w:hAnsi="Times New Roman" w:cs="Times New Roman"/>
            <w:u w:val="single"/>
          </w:rPr>
          <w:t>https://doi.org/10.30605/cjpe.8.2.2025.6459</w:t>
        </w:r>
      </w:hyperlink>
      <w:r>
        <w:rPr>
          <w:rFonts w:ascii="Times New Roman" w:eastAsia="Times New Roman" w:hAnsi="Times New Roman" w:cs="Times New Roman"/>
        </w:rPr>
        <w:t xml:space="preserve"> </w:t>
      </w:r>
    </w:p>
    <w:p w14:paraId="5819078A"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rPr>
        <w:lastRenderedPageBreak/>
        <w:t xml:space="preserve">Bakri, A. F. (2022). Students’ self-strategies in memorizing English vocabulary. </w:t>
      </w:r>
      <w:r>
        <w:rPr>
          <w:rFonts w:ascii="Times New Roman" w:eastAsia="Times New Roman" w:hAnsi="Times New Roman" w:cs="Times New Roman"/>
          <w:i/>
          <w:iCs/>
        </w:rPr>
        <w:t xml:space="preserve">NUSRA: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Penelitian</w:t>
      </w:r>
      <w:proofErr w:type="spellEnd"/>
      <w:r>
        <w:rPr>
          <w:rFonts w:ascii="Times New Roman" w:eastAsia="Times New Roman" w:hAnsi="Times New Roman" w:cs="Times New Roman"/>
          <w:i/>
          <w:iCs/>
        </w:rPr>
        <w:t xml:space="preserve"> Dan Ilmu Pendidikan</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 xml:space="preserve">(2), 191–199. </w:t>
      </w:r>
      <w:hyperlink r:id="rId22">
        <w:r>
          <w:rPr>
            <w:rFonts w:ascii="Times New Roman" w:eastAsia="Times New Roman" w:hAnsi="Times New Roman" w:cs="Times New Roman"/>
            <w:u w:val="single"/>
          </w:rPr>
          <w:t>https://doi.org/10.55681/nusra.v3i2.432</w:t>
        </w:r>
      </w:hyperlink>
      <w:r>
        <w:rPr>
          <w:rFonts w:ascii="Times New Roman" w:eastAsia="Times New Roman" w:hAnsi="Times New Roman" w:cs="Times New Roman"/>
        </w:rPr>
        <w:t xml:space="preserve"> </w:t>
      </w:r>
    </w:p>
    <w:p w14:paraId="53432867"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highlight w:val="white"/>
        </w:rPr>
        <w:t>Belabcir</w:t>
      </w:r>
      <w:proofErr w:type="spellEnd"/>
      <w:r>
        <w:rPr>
          <w:rFonts w:ascii="Times New Roman" w:eastAsia="Times New Roman" w:hAnsi="Times New Roman" w:cs="Times New Roman"/>
          <w:highlight w:val="white"/>
        </w:rPr>
        <w:t xml:space="preserve">, S. (2024). Investigating Engineering Students’ Needs for ICT Integration in ESP Classes. </w:t>
      </w:r>
      <w:r>
        <w:rPr>
          <w:rFonts w:ascii="Times New Roman" w:eastAsia="Times New Roman" w:hAnsi="Times New Roman" w:cs="Times New Roman"/>
          <w:i/>
          <w:iCs/>
          <w:highlight w:val="white"/>
        </w:rPr>
        <w:t>Journey: Journal of English Language and Pedagogy</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7</w:t>
      </w:r>
      <w:r>
        <w:rPr>
          <w:rFonts w:ascii="Times New Roman" w:eastAsia="Times New Roman" w:hAnsi="Times New Roman" w:cs="Times New Roman"/>
          <w:highlight w:val="white"/>
        </w:rPr>
        <w:t xml:space="preserve">(1), 122–139. </w:t>
      </w:r>
      <w:hyperlink r:id="rId23">
        <w:r>
          <w:rPr>
            <w:rFonts w:ascii="Times New Roman" w:eastAsia="Times New Roman" w:hAnsi="Times New Roman" w:cs="Times New Roman"/>
            <w:highlight w:val="white"/>
            <w:u w:val="single"/>
          </w:rPr>
          <w:t>https://doi.org/10.33503/journey.v7i1.866</w:t>
        </w:r>
      </w:hyperlink>
    </w:p>
    <w:p w14:paraId="5271C724"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Cameron, L. (2001). </w:t>
      </w:r>
      <w:r>
        <w:rPr>
          <w:rFonts w:ascii="Times New Roman" w:eastAsia="Times New Roman" w:hAnsi="Times New Roman" w:cs="Times New Roman"/>
          <w:i/>
          <w:iCs/>
          <w:highlight w:val="white"/>
        </w:rPr>
        <w:t>Teaching languages to young learners</w:t>
      </w:r>
      <w:r>
        <w:rPr>
          <w:rFonts w:ascii="Times New Roman" w:eastAsia="Times New Roman" w:hAnsi="Times New Roman" w:cs="Times New Roman"/>
          <w:highlight w:val="white"/>
        </w:rPr>
        <w:t>. Cambridge University Press.</w:t>
      </w:r>
    </w:p>
    <w:p w14:paraId="71F1941B"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Deci, E. L., &amp; Ryan, R. M. (1985). </w:t>
      </w:r>
      <w:r>
        <w:rPr>
          <w:rFonts w:ascii="Times New Roman" w:eastAsia="Times New Roman" w:hAnsi="Times New Roman" w:cs="Times New Roman"/>
          <w:i/>
          <w:iCs/>
          <w:highlight w:val="white"/>
        </w:rPr>
        <w:t>Intrinsic motivation and self-determination in human behavior</w:t>
      </w:r>
      <w:r>
        <w:rPr>
          <w:rFonts w:ascii="Times New Roman" w:eastAsia="Times New Roman" w:hAnsi="Times New Roman" w:cs="Times New Roman"/>
          <w:highlight w:val="white"/>
        </w:rPr>
        <w:t>. New York: Plenum.</w:t>
      </w:r>
    </w:p>
    <w:p w14:paraId="5BCBBC74" w14:textId="77777777" w:rsidR="00780386" w:rsidRDefault="00C443EB">
      <w:pPr>
        <w:ind w:left="709" w:hanging="709"/>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Elmahdi</w:t>
      </w:r>
      <w:proofErr w:type="spellEnd"/>
      <w:r>
        <w:rPr>
          <w:rFonts w:ascii="Times New Roman" w:eastAsia="Times New Roman" w:hAnsi="Times New Roman" w:cs="Times New Roman"/>
          <w:highlight w:val="white"/>
        </w:rPr>
        <w:t xml:space="preserve">, O. E. H., &amp; </w:t>
      </w:r>
      <w:proofErr w:type="spellStart"/>
      <w:r>
        <w:rPr>
          <w:rFonts w:ascii="Times New Roman" w:eastAsia="Times New Roman" w:hAnsi="Times New Roman" w:cs="Times New Roman"/>
          <w:highlight w:val="white"/>
        </w:rPr>
        <w:t>Hezam</w:t>
      </w:r>
      <w:proofErr w:type="spellEnd"/>
      <w:r>
        <w:rPr>
          <w:rFonts w:ascii="Times New Roman" w:eastAsia="Times New Roman" w:hAnsi="Times New Roman" w:cs="Times New Roman"/>
          <w:highlight w:val="white"/>
        </w:rPr>
        <w:t xml:space="preserve">, A. M. M. (2020). Challenges for methods of teaching English vocabulary to non-native students. </w:t>
      </w:r>
      <w:r>
        <w:rPr>
          <w:rFonts w:ascii="Times New Roman" w:eastAsia="Times New Roman" w:hAnsi="Times New Roman" w:cs="Times New Roman"/>
          <w:i/>
          <w:iCs/>
          <w:highlight w:val="white"/>
        </w:rPr>
        <w:t>Advances in Social Sciences Research Journal, 7</w:t>
      </w:r>
      <w:r>
        <w:rPr>
          <w:rFonts w:ascii="Times New Roman" w:eastAsia="Times New Roman" w:hAnsi="Times New Roman" w:cs="Times New Roman"/>
          <w:highlight w:val="white"/>
        </w:rPr>
        <w:t xml:space="preserve">(5), 556–575. </w:t>
      </w:r>
      <w:hyperlink r:id="rId24">
        <w:r>
          <w:rPr>
            <w:rFonts w:ascii="Times New Roman" w:eastAsia="Times New Roman" w:hAnsi="Times New Roman" w:cs="Times New Roman"/>
            <w:highlight w:val="white"/>
            <w:u w:val="single"/>
          </w:rPr>
          <w:t>https://doi.org/10.14738/assrj.75.8263</w:t>
        </w:r>
      </w:hyperlink>
      <w:r>
        <w:rPr>
          <w:rFonts w:ascii="Times New Roman" w:eastAsia="Times New Roman" w:hAnsi="Times New Roman" w:cs="Times New Roman"/>
          <w:highlight w:val="white"/>
        </w:rPr>
        <w:t xml:space="preserve"> </w:t>
      </w:r>
    </w:p>
    <w:p w14:paraId="320996AB"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Fadlia</w:t>
      </w:r>
      <w:proofErr w:type="spellEnd"/>
      <w:r>
        <w:rPr>
          <w:rFonts w:ascii="Times New Roman" w:eastAsia="Times New Roman" w:hAnsi="Times New Roman" w:cs="Times New Roman"/>
        </w:rPr>
        <w:t xml:space="preserve">, F., Zulida, E., Asra, S., </w:t>
      </w:r>
      <w:proofErr w:type="spellStart"/>
      <w:r>
        <w:rPr>
          <w:rFonts w:ascii="Times New Roman" w:eastAsia="Times New Roman" w:hAnsi="Times New Roman" w:cs="Times New Roman"/>
        </w:rPr>
        <w:t>Rahmiati</w:t>
      </w:r>
      <w:proofErr w:type="spellEnd"/>
      <w:r>
        <w:rPr>
          <w:rFonts w:ascii="Times New Roman" w:eastAsia="Times New Roman" w:hAnsi="Times New Roman" w:cs="Times New Roman"/>
        </w:rPr>
        <w:t xml:space="preserve">, R., &amp; Bania, A. S. (2020). English subject on English for specific purposes (ESP) in vocational schools. </w:t>
      </w:r>
      <w:r>
        <w:rPr>
          <w:rFonts w:ascii="Times New Roman" w:eastAsia="Times New Roman" w:hAnsi="Times New Roman" w:cs="Times New Roman"/>
          <w:i/>
          <w:iCs/>
        </w:rPr>
        <w:t>Language Literacy: Journal   of   Linguistics, Literature, and Language Teaching, 4</w:t>
      </w:r>
      <w:r>
        <w:rPr>
          <w:rFonts w:ascii="Times New Roman" w:eastAsia="Times New Roman" w:hAnsi="Times New Roman" w:cs="Times New Roman"/>
        </w:rPr>
        <w:t xml:space="preserve">(2), 358–367. </w:t>
      </w:r>
      <w:hyperlink r:id="rId25">
        <w:r>
          <w:rPr>
            <w:rFonts w:ascii="Times New Roman" w:eastAsia="Times New Roman" w:hAnsi="Times New Roman" w:cs="Times New Roman"/>
            <w:color w:val="000000"/>
            <w:u w:val="single"/>
          </w:rPr>
          <w:t>https://doi.org/10.30743/ll.v4i2.3064</w:t>
        </w:r>
      </w:hyperlink>
      <w:r>
        <w:rPr>
          <w:rFonts w:ascii="Times New Roman" w:eastAsia="Times New Roman" w:hAnsi="Times New Roman" w:cs="Times New Roman"/>
        </w:rPr>
        <w:t xml:space="preserve"> </w:t>
      </w:r>
    </w:p>
    <w:p w14:paraId="34E5E082"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Farahdiba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Sunra</w:t>
      </w:r>
      <w:proofErr w:type="spellEnd"/>
      <w:r>
        <w:rPr>
          <w:rFonts w:ascii="Times New Roman" w:eastAsia="Times New Roman" w:hAnsi="Times New Roman" w:cs="Times New Roman"/>
        </w:rPr>
        <w:t xml:space="preserve">, L., &amp; </w:t>
      </w:r>
      <w:proofErr w:type="spellStart"/>
      <w:r>
        <w:rPr>
          <w:rFonts w:ascii="Times New Roman" w:eastAsia="Times New Roman" w:hAnsi="Times New Roman" w:cs="Times New Roman"/>
        </w:rPr>
        <w:t>Amirullah</w:t>
      </w:r>
      <w:proofErr w:type="spellEnd"/>
      <w:r>
        <w:rPr>
          <w:rFonts w:ascii="Times New Roman" w:eastAsia="Times New Roman" w:hAnsi="Times New Roman" w:cs="Times New Roman"/>
        </w:rPr>
        <w:t xml:space="preserve">, A. (2024). Exploring EFL teachers’ strategies in teaching vocabulary at senior high school level (case study at SMKN 1 </w:t>
      </w:r>
      <w:proofErr w:type="spellStart"/>
      <w:r>
        <w:rPr>
          <w:rFonts w:ascii="Times New Roman" w:eastAsia="Times New Roman" w:hAnsi="Times New Roman" w:cs="Times New Roman"/>
        </w:rPr>
        <w:t>Barru</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Performance: Journal of English Education and Literature, 3</w:t>
      </w:r>
      <w:r>
        <w:rPr>
          <w:rFonts w:ascii="Times New Roman" w:eastAsia="Times New Roman" w:hAnsi="Times New Roman" w:cs="Times New Roman"/>
        </w:rPr>
        <w:t xml:space="preserve">(1), 74. </w:t>
      </w:r>
      <w:hyperlink r:id="rId26">
        <w:r>
          <w:rPr>
            <w:rFonts w:ascii="Times New Roman" w:eastAsia="Times New Roman" w:hAnsi="Times New Roman" w:cs="Times New Roman"/>
            <w:u w:val="single"/>
          </w:rPr>
          <w:t>https://doi.org/10.26858/performance.v3i1.59579</w:t>
        </w:r>
      </w:hyperlink>
    </w:p>
    <w:p w14:paraId="71E2B284"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Fawaas</w:t>
      </w:r>
      <w:proofErr w:type="spellEnd"/>
      <w:r>
        <w:rPr>
          <w:rFonts w:ascii="Times New Roman" w:eastAsia="Times New Roman" w:hAnsi="Times New Roman" w:cs="Times New Roman"/>
        </w:rPr>
        <w:t xml:space="preserve">, M. A. H. A., Mustofa, Z., &amp; </w:t>
      </w:r>
      <w:proofErr w:type="spellStart"/>
      <w:r>
        <w:rPr>
          <w:rFonts w:ascii="Times New Roman" w:eastAsia="Times New Roman" w:hAnsi="Times New Roman" w:cs="Times New Roman"/>
        </w:rPr>
        <w:t>Daryono</w:t>
      </w:r>
      <w:proofErr w:type="spellEnd"/>
      <w:r>
        <w:rPr>
          <w:rFonts w:ascii="Times New Roman" w:eastAsia="Times New Roman" w:hAnsi="Times New Roman" w:cs="Times New Roman"/>
        </w:rPr>
        <w:t xml:space="preserve">, R. W. (2024). The effectiveness of contextual teaching and learning (CTL) and project based learning (PJBL) methods on student learning outcomes. </w:t>
      </w:r>
      <w:r>
        <w:rPr>
          <w:rFonts w:ascii="Times New Roman" w:eastAsia="Times New Roman" w:hAnsi="Times New Roman" w:cs="Times New Roman"/>
          <w:i/>
          <w:iCs/>
        </w:rPr>
        <w:t>IJORER: International Journal of Recent Educational Research</w:t>
      </w:r>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 xml:space="preserve">(4), 1040-1053. </w:t>
      </w:r>
      <w:hyperlink r:id="rId27">
        <w:r>
          <w:rPr>
            <w:rFonts w:ascii="Times New Roman" w:eastAsia="Times New Roman" w:hAnsi="Times New Roman" w:cs="Times New Roman"/>
            <w:u w:val="single"/>
          </w:rPr>
          <w:t>https://doi.org/10.46245/ijorer.v5i4.635</w:t>
        </w:r>
      </w:hyperlink>
      <w:r>
        <w:rPr>
          <w:rFonts w:ascii="Times New Roman" w:eastAsia="Times New Roman" w:hAnsi="Times New Roman" w:cs="Times New Roman"/>
        </w:rPr>
        <w:t xml:space="preserve"> </w:t>
      </w:r>
    </w:p>
    <w:p w14:paraId="20E7633F"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Febrianto</w:t>
      </w:r>
      <w:proofErr w:type="spellEnd"/>
      <w:r>
        <w:rPr>
          <w:rFonts w:ascii="Times New Roman" w:eastAsia="Times New Roman" w:hAnsi="Times New Roman" w:cs="Times New Roman"/>
        </w:rPr>
        <w:t xml:space="preserve">, A., Chan, R., &amp; Karoma. (2025).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hubungan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kepribadian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karakteristik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kognitif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afektif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kajian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studi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literatur</w:t>
      </w:r>
      <w:proofErr w:type="spellEnd"/>
      <w:r>
        <w:rPr>
          <w:rFonts w:ascii="Times New Roman" w:eastAsia="Times New Roman" w:hAnsi="Times New Roman" w:cs="Times New Roman"/>
        </w:rPr>
        <w:t>.</w:t>
      </w:r>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Pendidikan Indonesia: Teori, </w:t>
      </w:r>
      <w:proofErr w:type="spellStart"/>
      <w:r>
        <w:rPr>
          <w:rFonts w:ascii="Times New Roman" w:eastAsia="Times New Roman" w:hAnsi="Times New Roman" w:cs="Times New Roman"/>
          <w:i/>
          <w:iCs/>
        </w:rPr>
        <w:t>Penelitian</w:t>
      </w:r>
      <w:proofErr w:type="spellEnd"/>
      <w:r>
        <w:rPr>
          <w:rFonts w:ascii="Times New Roman" w:eastAsia="Times New Roman" w:hAnsi="Times New Roman" w:cs="Times New Roman"/>
          <w:i/>
          <w:iCs/>
        </w:rPr>
        <w:t xml:space="preserve"> dan </w:t>
      </w:r>
      <w:proofErr w:type="spellStart"/>
      <w:r>
        <w:rPr>
          <w:rFonts w:ascii="Times New Roman" w:eastAsia="Times New Roman" w:hAnsi="Times New Roman" w:cs="Times New Roman"/>
          <w:i/>
          <w:iCs/>
        </w:rPr>
        <w:t>Inovasi</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 xml:space="preserve">(3),  </w:t>
      </w:r>
      <w:hyperlink r:id="rId28">
        <w:r>
          <w:rPr>
            <w:rFonts w:ascii="Times New Roman" w:eastAsia="Times New Roman" w:hAnsi="Times New Roman" w:cs="Times New Roman"/>
            <w:u w:val="single"/>
          </w:rPr>
          <w:t>https://jurnal.penerbitwidina.com/</w:t>
        </w:r>
      </w:hyperlink>
      <w:r>
        <w:rPr>
          <w:rFonts w:ascii="Times New Roman" w:eastAsia="Times New Roman" w:hAnsi="Times New Roman" w:cs="Times New Roman"/>
        </w:rPr>
        <w:t xml:space="preserve"> </w:t>
      </w:r>
    </w:p>
    <w:p w14:paraId="67D733F0"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Fitriana, R. O., Hadi, M. S., &amp; Izzah, L. (2021). Improve students’ English vocabulary skills with flashcard media.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Ilmiah</w:t>
      </w:r>
      <w:proofErr w:type="spellEnd"/>
      <w:r>
        <w:rPr>
          <w:rFonts w:ascii="Times New Roman" w:eastAsia="Times New Roman" w:hAnsi="Times New Roman" w:cs="Times New Roman"/>
          <w:i/>
          <w:iCs/>
        </w:rPr>
        <w:t xml:space="preserve"> Pendidikan </w:t>
      </w:r>
      <w:proofErr w:type="spellStart"/>
      <w:r>
        <w:rPr>
          <w:rFonts w:ascii="Times New Roman" w:eastAsia="Times New Roman" w:hAnsi="Times New Roman" w:cs="Times New Roman"/>
          <w:i/>
          <w:iCs/>
        </w:rPr>
        <w:t>Profesi</w:t>
      </w:r>
      <w:proofErr w:type="spellEnd"/>
      <w:r>
        <w:rPr>
          <w:rFonts w:ascii="Times New Roman" w:eastAsia="Times New Roman" w:hAnsi="Times New Roman" w:cs="Times New Roman"/>
          <w:i/>
          <w:iCs/>
        </w:rPr>
        <w:t xml:space="preserve"> Guru</w:t>
      </w:r>
      <w:r>
        <w:rPr>
          <w:rFonts w:ascii="Times New Roman" w:eastAsia="Times New Roman" w:hAnsi="Times New Roman" w:cs="Times New Roman"/>
        </w:rPr>
        <w:t xml:space="preserve">, </w:t>
      </w:r>
      <w:r>
        <w:rPr>
          <w:rFonts w:ascii="Times New Roman" w:eastAsia="Times New Roman" w:hAnsi="Times New Roman" w:cs="Times New Roman"/>
          <w:i/>
          <w:iCs/>
        </w:rPr>
        <w:t>4</w:t>
      </w:r>
      <w:r>
        <w:rPr>
          <w:rFonts w:ascii="Times New Roman" w:eastAsia="Times New Roman" w:hAnsi="Times New Roman" w:cs="Times New Roman"/>
        </w:rPr>
        <w:t xml:space="preserve">(3), 521–530. </w:t>
      </w:r>
      <w:hyperlink r:id="rId29">
        <w:r>
          <w:rPr>
            <w:rFonts w:ascii="Times New Roman" w:eastAsia="Times New Roman" w:hAnsi="Times New Roman" w:cs="Times New Roman"/>
            <w:u w:val="single"/>
          </w:rPr>
          <w:t>https://doi.org/10.23887/jippg.v4i3.39029</w:t>
        </w:r>
      </w:hyperlink>
      <w:r>
        <w:rPr>
          <w:rFonts w:ascii="Times New Roman" w:eastAsia="Times New Roman" w:hAnsi="Times New Roman" w:cs="Times New Roman"/>
        </w:rPr>
        <w:t xml:space="preserve"> </w:t>
      </w:r>
    </w:p>
    <w:p w14:paraId="45F0660A"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Fleming, N. D., &amp; Mills, C. (1992). </w:t>
      </w:r>
      <w:r>
        <w:rPr>
          <w:rFonts w:ascii="Times New Roman" w:eastAsia="Times New Roman" w:hAnsi="Times New Roman" w:cs="Times New Roman"/>
          <w:i/>
          <w:iCs/>
        </w:rPr>
        <w:t>Not another inventory, rather a catalyst for reflection</w:t>
      </w:r>
      <w:r>
        <w:rPr>
          <w:rFonts w:ascii="Times New Roman" w:eastAsia="Times New Roman" w:hAnsi="Times New Roman" w:cs="Times New Roman"/>
        </w:rPr>
        <w:t xml:space="preserve">. To Improve the Academy, 11(1), 137–155. </w:t>
      </w:r>
      <w:hyperlink r:id="rId30">
        <w:r>
          <w:rPr>
            <w:rFonts w:ascii="Times New Roman" w:eastAsia="Times New Roman" w:hAnsi="Times New Roman" w:cs="Times New Roman"/>
            <w:u w:val="single"/>
          </w:rPr>
          <w:t>https://doi.org/10.1002/j.2334-4822.1992.tb00213.x</w:t>
        </w:r>
      </w:hyperlink>
      <w:r>
        <w:rPr>
          <w:rFonts w:ascii="Times New Roman" w:eastAsia="Times New Roman" w:hAnsi="Times New Roman" w:cs="Times New Roman"/>
        </w:rPr>
        <w:t xml:space="preserve"> </w:t>
      </w:r>
    </w:p>
    <w:p w14:paraId="32875E08"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Gulo, S. M. N. (2024). Analysis of teacher difficulties in teaching vocabulary at elementary school. </w:t>
      </w:r>
      <w:r>
        <w:rPr>
          <w:rFonts w:ascii="Times New Roman" w:eastAsia="Times New Roman" w:hAnsi="Times New Roman" w:cs="Times New Roman"/>
          <w:i/>
          <w:iCs/>
        </w:rPr>
        <w:t>Progressive of Cognitive and Ability, 3</w:t>
      </w:r>
      <w:r>
        <w:rPr>
          <w:rFonts w:ascii="Times New Roman" w:eastAsia="Times New Roman" w:hAnsi="Times New Roman" w:cs="Times New Roman"/>
        </w:rPr>
        <w:t xml:space="preserve">(1), 67–74. </w:t>
      </w:r>
      <w:hyperlink r:id="rId31">
        <w:r>
          <w:rPr>
            <w:rFonts w:ascii="Times New Roman" w:eastAsia="Times New Roman" w:hAnsi="Times New Roman" w:cs="Times New Roman"/>
            <w:color w:val="000000"/>
            <w:u w:val="single"/>
          </w:rPr>
          <w:t>https://doi.org/10.56855/jpr.v3i1.977</w:t>
        </w:r>
      </w:hyperlink>
      <w:r>
        <w:rPr>
          <w:rFonts w:ascii="Times New Roman" w:eastAsia="Times New Roman" w:hAnsi="Times New Roman" w:cs="Times New Roman"/>
        </w:rPr>
        <w:t xml:space="preserve"> </w:t>
      </w:r>
    </w:p>
    <w:p w14:paraId="0E2F2EED"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Gultom</w:t>
      </w:r>
      <w:proofErr w:type="spellEnd"/>
      <w:r>
        <w:rPr>
          <w:rFonts w:ascii="Times New Roman" w:eastAsia="Times New Roman" w:hAnsi="Times New Roman" w:cs="Times New Roman"/>
        </w:rPr>
        <w:t xml:space="preserve">, R. J., </w:t>
      </w:r>
      <w:proofErr w:type="spellStart"/>
      <w:r>
        <w:rPr>
          <w:rFonts w:ascii="Times New Roman" w:eastAsia="Times New Roman" w:hAnsi="Times New Roman" w:cs="Times New Roman"/>
        </w:rPr>
        <w:t>Simarmata</w:t>
      </w:r>
      <w:proofErr w:type="spellEnd"/>
      <w:r>
        <w:rPr>
          <w:rFonts w:ascii="Times New Roman" w:eastAsia="Times New Roman" w:hAnsi="Times New Roman" w:cs="Times New Roman"/>
        </w:rPr>
        <w:t xml:space="preserve">, J. N., </w:t>
      </w:r>
      <w:proofErr w:type="spellStart"/>
      <w:r>
        <w:rPr>
          <w:rFonts w:ascii="Times New Roman" w:eastAsia="Times New Roman" w:hAnsi="Times New Roman" w:cs="Times New Roman"/>
        </w:rPr>
        <w:t>Purba</w:t>
      </w:r>
      <w:proofErr w:type="spellEnd"/>
      <w:r>
        <w:rPr>
          <w:rFonts w:ascii="Times New Roman" w:eastAsia="Times New Roman" w:hAnsi="Times New Roman" w:cs="Times New Roman"/>
        </w:rPr>
        <w:t xml:space="preserve">, O. R., &amp; </w:t>
      </w:r>
      <w:proofErr w:type="spellStart"/>
      <w:r>
        <w:rPr>
          <w:rFonts w:ascii="Times New Roman" w:eastAsia="Times New Roman" w:hAnsi="Times New Roman" w:cs="Times New Roman"/>
        </w:rPr>
        <w:t>Saragih</w:t>
      </w:r>
      <w:proofErr w:type="spellEnd"/>
      <w:r>
        <w:rPr>
          <w:rFonts w:ascii="Times New Roman" w:eastAsia="Times New Roman" w:hAnsi="Times New Roman" w:cs="Times New Roman"/>
        </w:rPr>
        <w:t xml:space="preserve">, E. (2022). </w:t>
      </w:r>
      <w:proofErr w:type="gramStart"/>
      <w:r>
        <w:rPr>
          <w:rFonts w:ascii="Times New Roman" w:eastAsia="Times New Roman" w:hAnsi="Times New Roman" w:cs="Times New Roman"/>
        </w:rPr>
        <w:t>Teachers</w:t>
      </w:r>
      <w:proofErr w:type="gramEnd"/>
      <w:r>
        <w:rPr>
          <w:rFonts w:ascii="Times New Roman" w:eastAsia="Times New Roman" w:hAnsi="Times New Roman" w:cs="Times New Roman"/>
        </w:rPr>
        <w:t xml:space="preserve"> strategies in teaching English vocabulary in junior high school. </w:t>
      </w:r>
      <w:r>
        <w:rPr>
          <w:rFonts w:ascii="Times New Roman" w:eastAsia="Times New Roman" w:hAnsi="Times New Roman" w:cs="Times New Roman"/>
          <w:i/>
          <w:iCs/>
        </w:rPr>
        <w:t>Journal of English Language and Education, 7</w:t>
      </w:r>
      <w:r>
        <w:rPr>
          <w:rFonts w:ascii="Times New Roman" w:eastAsia="Times New Roman" w:hAnsi="Times New Roman" w:cs="Times New Roman"/>
        </w:rPr>
        <w:t>(1)</w:t>
      </w:r>
      <w:r>
        <w:rPr>
          <w:rFonts w:ascii="Times New Roman" w:eastAsia="Times New Roman" w:hAnsi="Times New Roman" w:cs="Times New Roman"/>
          <w:i/>
          <w:iCs/>
        </w:rPr>
        <w:t xml:space="preserve">. </w:t>
      </w:r>
      <w:hyperlink r:id="rId32">
        <w:r>
          <w:rPr>
            <w:rFonts w:ascii="Times New Roman" w:eastAsia="Times New Roman" w:hAnsi="Times New Roman" w:cs="Times New Roman"/>
            <w:u w:val="single"/>
          </w:rPr>
          <w:t>https://doi.org/10.31004/jele.v7i1.182</w:t>
        </w:r>
      </w:hyperlink>
      <w:r>
        <w:rPr>
          <w:rFonts w:ascii="Times New Roman" w:eastAsia="Times New Roman" w:hAnsi="Times New Roman" w:cs="Times New Roman"/>
        </w:rPr>
        <w:t xml:space="preserve"> </w:t>
      </w:r>
    </w:p>
    <w:p w14:paraId="432801A8"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highlight w:val="white"/>
        </w:rPr>
        <w:t xml:space="preserve">Hiebert, E. H., &amp; Kamil, M. L. (2005). </w:t>
      </w:r>
      <w:r>
        <w:rPr>
          <w:rFonts w:ascii="Times New Roman" w:eastAsia="Times New Roman" w:hAnsi="Times New Roman" w:cs="Times New Roman"/>
          <w:i/>
          <w:iCs/>
          <w:highlight w:val="white"/>
        </w:rPr>
        <w:t>Teaching and learning vocabulary: Bringing research to practice</w:t>
      </w:r>
      <w:r>
        <w:rPr>
          <w:rFonts w:ascii="Times New Roman" w:eastAsia="Times New Roman" w:hAnsi="Times New Roman" w:cs="Times New Roman"/>
          <w:highlight w:val="white"/>
        </w:rPr>
        <w:t>. L. Erlbaum Associates.</w:t>
      </w:r>
    </w:p>
    <w:p w14:paraId="70D44F6A"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Hutchinson, T., &amp; Waters, A. (1987). </w:t>
      </w:r>
      <w:r>
        <w:rPr>
          <w:rFonts w:ascii="Times New Roman" w:eastAsia="Times New Roman" w:hAnsi="Times New Roman" w:cs="Times New Roman"/>
          <w:i/>
          <w:iCs/>
        </w:rPr>
        <w:t>English for specific purposes: a learning-</w:t>
      </w:r>
      <w:proofErr w:type="spellStart"/>
      <w:r>
        <w:rPr>
          <w:rFonts w:ascii="Times New Roman" w:eastAsia="Times New Roman" w:hAnsi="Times New Roman" w:cs="Times New Roman"/>
          <w:i/>
          <w:iCs/>
        </w:rPr>
        <w:t>centred</w:t>
      </w:r>
      <w:proofErr w:type="spellEnd"/>
      <w:r>
        <w:rPr>
          <w:rFonts w:ascii="Times New Roman" w:eastAsia="Times New Roman" w:hAnsi="Times New Roman" w:cs="Times New Roman"/>
          <w:i/>
          <w:iCs/>
        </w:rPr>
        <w:t xml:space="preserve"> approach</w:t>
      </w:r>
      <w:r>
        <w:rPr>
          <w:rFonts w:ascii="Times New Roman" w:eastAsia="Times New Roman" w:hAnsi="Times New Roman" w:cs="Times New Roman"/>
        </w:rPr>
        <w:t>. Cambridge University Press.</w:t>
      </w:r>
    </w:p>
    <w:p w14:paraId="1BF776FE" w14:textId="77777777" w:rsidR="00780386" w:rsidRDefault="00C443EB">
      <w:pPr>
        <w:ind w:left="709" w:hanging="709"/>
        <w:rPr>
          <w:rFonts w:ascii="Times New Roman" w:eastAsia="Times New Roman" w:hAnsi="Times New Roman" w:cs="Times New Roman"/>
          <w:i/>
          <w:iCs/>
        </w:rPr>
      </w:pPr>
      <w:r>
        <w:rPr>
          <w:rFonts w:ascii="Times New Roman" w:eastAsia="Times New Roman" w:hAnsi="Times New Roman" w:cs="Times New Roman"/>
        </w:rPr>
        <w:t xml:space="preserve">Jamal, N., Gull, K., Maryam, M., &amp; Khan, M. T. (2025). Exploring vocabulary teaching strategies for reading and writing development in elementary English classrooms. </w:t>
      </w:r>
      <w:r>
        <w:rPr>
          <w:rFonts w:ascii="Times New Roman" w:eastAsia="Times New Roman" w:hAnsi="Times New Roman" w:cs="Times New Roman"/>
          <w:i/>
          <w:iCs/>
        </w:rPr>
        <w:t xml:space="preserve">International Journal of Social Science Bulletin. </w:t>
      </w:r>
      <w:hyperlink r:id="rId33">
        <w:r>
          <w:rPr>
            <w:rFonts w:ascii="Times New Roman" w:eastAsia="Times New Roman" w:hAnsi="Times New Roman" w:cs="Times New Roman"/>
            <w:u w:val="single"/>
          </w:rPr>
          <w:t>https://doi.org/10.5281/zenodo.16946746</w:t>
        </w:r>
      </w:hyperlink>
      <w:r>
        <w:rPr>
          <w:rFonts w:ascii="Times New Roman" w:eastAsia="Times New Roman" w:hAnsi="Times New Roman" w:cs="Times New Roman"/>
          <w:i/>
          <w:iCs/>
        </w:rPr>
        <w:t xml:space="preserve"> </w:t>
      </w:r>
    </w:p>
    <w:p w14:paraId="7F9CADE2"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Juita</w:t>
      </w:r>
      <w:proofErr w:type="spellEnd"/>
      <w:r>
        <w:rPr>
          <w:rFonts w:ascii="Times New Roman" w:eastAsia="Times New Roman" w:hAnsi="Times New Roman" w:cs="Times New Roman"/>
        </w:rPr>
        <w:t xml:space="preserve">, E.  (2023).  </w:t>
      </w:r>
      <w:proofErr w:type="spellStart"/>
      <w:r>
        <w:rPr>
          <w:rFonts w:ascii="Times New Roman" w:eastAsia="Times New Roman" w:hAnsi="Times New Roman" w:cs="Times New Roman"/>
        </w:rPr>
        <w:t>Pelatihan</w:t>
      </w:r>
      <w:proofErr w:type="spellEnd"/>
      <w:r>
        <w:rPr>
          <w:rFonts w:ascii="Times New Roman" w:eastAsia="Times New Roman" w:hAnsi="Times New Roman" w:cs="Times New Roman"/>
        </w:rPr>
        <w:t xml:space="preserve"> English for specific purposes (ESP)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siswa</w:t>
      </w:r>
      <w:proofErr w:type="spellEnd"/>
      <w:r>
        <w:rPr>
          <w:rFonts w:ascii="Times New Roman" w:eastAsia="Times New Roman" w:hAnsi="Times New Roman" w:cs="Times New Roman"/>
        </w:rPr>
        <w:t xml:space="preserve"> SMKN 1 </w:t>
      </w:r>
      <w:proofErr w:type="spellStart"/>
      <w:r>
        <w:rPr>
          <w:rFonts w:ascii="Times New Roman" w:eastAsia="Times New Roman" w:hAnsi="Times New Roman" w:cs="Times New Roman"/>
        </w:rPr>
        <w:t>Tualang</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J-ABDI: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Pengabdian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Kepada</w:t>
      </w:r>
      <w:proofErr w:type="spellEnd"/>
      <w:r>
        <w:rPr>
          <w:rFonts w:ascii="Times New Roman" w:eastAsia="Times New Roman" w:hAnsi="Times New Roman" w:cs="Times New Roman"/>
          <w:i/>
          <w:iCs/>
        </w:rPr>
        <w:t xml:space="preserve"> Masyarakat, 2</w:t>
      </w:r>
      <w:r>
        <w:rPr>
          <w:rFonts w:ascii="Times New Roman" w:eastAsia="Times New Roman" w:hAnsi="Times New Roman" w:cs="Times New Roman"/>
        </w:rPr>
        <w:t xml:space="preserve">(9), 6287–6294. </w:t>
      </w:r>
      <w:hyperlink r:id="rId34">
        <w:r>
          <w:rPr>
            <w:rFonts w:ascii="Times New Roman" w:eastAsia="Times New Roman" w:hAnsi="Times New Roman" w:cs="Times New Roman"/>
            <w:u w:val="single"/>
          </w:rPr>
          <w:t>https://doi.org/10.53625/jabdi.v2i9.4850</w:t>
        </w:r>
      </w:hyperlink>
    </w:p>
    <w:p w14:paraId="38C7BF79"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Karimah, A. S. D. F., Salija, K., &amp; Talib, A. (2022). The application of contextual teaching and learning (CTL) method to increase students’ English vocabulary mastery. </w:t>
      </w:r>
      <w:r>
        <w:rPr>
          <w:rFonts w:ascii="Times New Roman" w:eastAsia="Times New Roman" w:hAnsi="Times New Roman" w:cs="Times New Roman"/>
          <w:i/>
          <w:iCs/>
        </w:rPr>
        <w:t>Journal of Excellence in English Language Education, 1</w:t>
      </w:r>
      <w:r>
        <w:rPr>
          <w:rFonts w:ascii="Times New Roman" w:eastAsia="Times New Roman" w:hAnsi="Times New Roman" w:cs="Times New Roman"/>
        </w:rPr>
        <w:t xml:space="preserve">(3), 70–83. </w:t>
      </w:r>
      <w:hyperlink r:id="rId35">
        <w:r>
          <w:rPr>
            <w:rFonts w:ascii="Times New Roman" w:eastAsia="Times New Roman" w:hAnsi="Times New Roman" w:cs="Times New Roman"/>
            <w:u w:val="single"/>
          </w:rPr>
          <w:t>https://ojs.unm.ac.id/JoEELE/article/view/35432</w:t>
        </w:r>
      </w:hyperlink>
    </w:p>
    <w:p w14:paraId="62094EE9"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Jumrah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Paturusi</w:t>
      </w:r>
      <w:proofErr w:type="spellEnd"/>
      <w:r>
        <w:rPr>
          <w:rFonts w:ascii="Times New Roman" w:eastAsia="Times New Roman" w:hAnsi="Times New Roman" w:cs="Times New Roman"/>
        </w:rPr>
        <w:t xml:space="preserve">, M. A., &amp; </w:t>
      </w:r>
      <w:proofErr w:type="spellStart"/>
      <w:r>
        <w:rPr>
          <w:rFonts w:ascii="Times New Roman" w:eastAsia="Times New Roman" w:hAnsi="Times New Roman" w:cs="Times New Roman"/>
        </w:rPr>
        <w:t>Maharida</w:t>
      </w:r>
      <w:proofErr w:type="spellEnd"/>
      <w:r>
        <w:rPr>
          <w:rFonts w:ascii="Times New Roman" w:eastAsia="Times New Roman" w:hAnsi="Times New Roman" w:cs="Times New Roman"/>
        </w:rPr>
        <w:t xml:space="preserve">. (2022). Students learning style by using Neil Fleming’s VARK model and inventory. </w:t>
      </w:r>
      <w:r>
        <w:rPr>
          <w:rFonts w:ascii="Times New Roman" w:eastAsia="Times New Roman" w:hAnsi="Times New Roman" w:cs="Times New Roman"/>
          <w:i/>
          <w:iCs/>
        </w:rPr>
        <w:t>Journal of Language Testing and Assessment</w:t>
      </w:r>
      <w:r>
        <w:rPr>
          <w:rFonts w:ascii="Times New Roman" w:eastAsia="Times New Roman" w:hAnsi="Times New Roman" w:cs="Times New Roman"/>
        </w:rPr>
        <w:t xml:space="preserve">, </w:t>
      </w:r>
      <w:r>
        <w:rPr>
          <w:rFonts w:ascii="Times New Roman" w:eastAsia="Times New Roman" w:hAnsi="Times New Roman" w:cs="Times New Roman"/>
          <w:i/>
          <w:iCs/>
        </w:rPr>
        <w:t>2</w:t>
      </w:r>
      <w:r>
        <w:rPr>
          <w:rFonts w:ascii="Times New Roman" w:eastAsia="Times New Roman" w:hAnsi="Times New Roman" w:cs="Times New Roman"/>
        </w:rPr>
        <w:t xml:space="preserve">(1), 79–86. </w:t>
      </w:r>
      <w:hyperlink r:id="rId36">
        <w:r>
          <w:rPr>
            <w:rFonts w:ascii="Times New Roman" w:eastAsia="Times New Roman" w:hAnsi="Times New Roman" w:cs="Times New Roman"/>
            <w:u w:val="single"/>
          </w:rPr>
          <w:t>https://doi.org/10.56983/jlta.v2i1.71</w:t>
        </w:r>
      </w:hyperlink>
      <w:r>
        <w:rPr>
          <w:rFonts w:ascii="Times New Roman" w:eastAsia="Times New Roman" w:hAnsi="Times New Roman" w:cs="Times New Roman"/>
        </w:rPr>
        <w:t xml:space="preserve">  </w:t>
      </w:r>
    </w:p>
    <w:p w14:paraId="1A252533"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lastRenderedPageBreak/>
        <w:t xml:space="preserve">Luo, Q. (2025). Investigating vocabulary teaching: Memory strategies for high school students. </w:t>
      </w:r>
      <w:r>
        <w:rPr>
          <w:rFonts w:ascii="Times New Roman" w:eastAsia="Times New Roman" w:hAnsi="Times New Roman" w:cs="Times New Roman"/>
          <w:i/>
          <w:iCs/>
        </w:rPr>
        <w:t>Proceedings of the International Academic Conference on Teaching and Education, 1</w:t>
      </w:r>
      <w:r>
        <w:rPr>
          <w:rFonts w:ascii="Times New Roman" w:eastAsia="Times New Roman" w:hAnsi="Times New Roman" w:cs="Times New Roman"/>
        </w:rPr>
        <w:t xml:space="preserve">(1), 1–15. </w:t>
      </w:r>
      <w:hyperlink r:id="rId37">
        <w:r>
          <w:rPr>
            <w:rFonts w:ascii="Times New Roman" w:eastAsia="Times New Roman" w:hAnsi="Times New Roman" w:cs="Times New Roman"/>
            <w:u w:val="single"/>
          </w:rPr>
          <w:t>https://doi.org/10.33422/icteducation.v1i1.712</w:t>
        </w:r>
      </w:hyperlink>
      <w:r>
        <w:rPr>
          <w:rFonts w:ascii="Times New Roman" w:eastAsia="Times New Roman" w:hAnsi="Times New Roman" w:cs="Times New Roman"/>
        </w:rPr>
        <w:t xml:space="preserve"> </w:t>
      </w:r>
    </w:p>
    <w:p w14:paraId="1E10E63A"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Martinez, M. E., &amp; Gomez, V. (2024). The importance of social-emotional learning in schools. </w:t>
      </w:r>
      <w:r>
        <w:rPr>
          <w:rFonts w:ascii="Times New Roman" w:eastAsia="Times New Roman" w:hAnsi="Times New Roman" w:cs="Times New Roman"/>
          <w:i/>
          <w:iCs/>
        </w:rPr>
        <w:t xml:space="preserve">Acta </w:t>
      </w:r>
      <w:proofErr w:type="spellStart"/>
      <w:r>
        <w:rPr>
          <w:rFonts w:ascii="Times New Roman" w:eastAsia="Times New Roman" w:hAnsi="Times New Roman" w:cs="Times New Roman"/>
          <w:i/>
          <w:iCs/>
        </w:rPr>
        <w:t>Pedagogia</w:t>
      </w:r>
      <w:proofErr w:type="spellEnd"/>
      <w:r>
        <w:rPr>
          <w:rFonts w:ascii="Times New Roman" w:eastAsia="Times New Roman" w:hAnsi="Times New Roman" w:cs="Times New Roman"/>
          <w:i/>
          <w:iCs/>
        </w:rPr>
        <w:t xml:space="preserve"> Asiana</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 xml:space="preserve">(2), 101–112. </w:t>
      </w:r>
      <w:hyperlink r:id="rId38">
        <w:r>
          <w:rPr>
            <w:rFonts w:ascii="Times New Roman" w:eastAsia="Times New Roman" w:hAnsi="Times New Roman" w:cs="Times New Roman"/>
            <w:u w:val="single"/>
          </w:rPr>
          <w:t>https://doi.org/10.53623/apga.v3i2.468</w:t>
        </w:r>
      </w:hyperlink>
      <w:r>
        <w:rPr>
          <w:rFonts w:ascii="Times New Roman" w:eastAsia="Times New Roman" w:hAnsi="Times New Roman" w:cs="Times New Roman"/>
        </w:rPr>
        <w:t xml:space="preserve"> </w:t>
      </w:r>
    </w:p>
    <w:p w14:paraId="095D0A9A"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Muhammad, A. S., &amp; Utami, A. T. (2023). Needs Analysis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Esp (English for Specific Purposes) For Office Administration Students.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Pendidikan </w:t>
      </w:r>
      <w:proofErr w:type="spellStart"/>
      <w:r>
        <w:rPr>
          <w:rFonts w:ascii="Times New Roman" w:eastAsia="Times New Roman" w:hAnsi="Times New Roman" w:cs="Times New Roman"/>
          <w:i/>
          <w:iCs/>
        </w:rPr>
        <w:t>Tambusai</w:t>
      </w:r>
      <w:proofErr w:type="spellEnd"/>
      <w:r>
        <w:rPr>
          <w:rFonts w:ascii="Times New Roman" w:eastAsia="Times New Roman" w:hAnsi="Times New Roman" w:cs="Times New Roman"/>
          <w:i/>
          <w:iCs/>
        </w:rPr>
        <w:t>, 7</w:t>
      </w:r>
      <w:r>
        <w:rPr>
          <w:rFonts w:ascii="Times New Roman" w:eastAsia="Times New Roman" w:hAnsi="Times New Roman" w:cs="Times New Roman"/>
        </w:rPr>
        <w:t xml:space="preserve">(1), 1522–1526. </w:t>
      </w:r>
    </w:p>
    <w:p w14:paraId="516C6D04"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highlight w:val="white"/>
        </w:rPr>
        <w:t xml:space="preserve">Musfirah, M., Burhan, I., &amp; </w:t>
      </w:r>
      <w:proofErr w:type="spellStart"/>
      <w:r>
        <w:rPr>
          <w:rFonts w:ascii="Times New Roman" w:eastAsia="Times New Roman" w:hAnsi="Times New Roman" w:cs="Times New Roman"/>
          <w:highlight w:val="white"/>
        </w:rPr>
        <w:t>Amriadi</w:t>
      </w:r>
      <w:proofErr w:type="spellEnd"/>
      <w:r>
        <w:rPr>
          <w:rFonts w:ascii="Times New Roman" w:eastAsia="Times New Roman" w:hAnsi="Times New Roman" w:cs="Times New Roman"/>
          <w:highlight w:val="white"/>
        </w:rPr>
        <w:t xml:space="preserve">, A. (2025). Intrinsic and extrinsic learning motivation of elementary school students: a descriptive and empirical analysis. </w:t>
      </w:r>
      <w:r>
        <w:rPr>
          <w:rFonts w:ascii="Times New Roman" w:eastAsia="Times New Roman" w:hAnsi="Times New Roman" w:cs="Times New Roman"/>
          <w:i/>
          <w:iCs/>
          <w:highlight w:val="white"/>
        </w:rPr>
        <w:t>International Journal of Education, Vocational and Social Science</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4</w:t>
      </w:r>
      <w:r>
        <w:rPr>
          <w:rFonts w:ascii="Times New Roman" w:eastAsia="Times New Roman" w:hAnsi="Times New Roman" w:cs="Times New Roman"/>
          <w:highlight w:val="white"/>
        </w:rPr>
        <w:t xml:space="preserve">(01), 298-321. </w:t>
      </w:r>
      <w:hyperlink r:id="rId39">
        <w:r>
          <w:rPr>
            <w:rFonts w:ascii="Times New Roman" w:eastAsia="Times New Roman" w:hAnsi="Times New Roman" w:cs="Times New Roman"/>
            <w:highlight w:val="white"/>
            <w:u w:val="single"/>
          </w:rPr>
          <w:t>https://doi.org/10.63922/ijevss.v4i01.1564</w:t>
        </w:r>
      </w:hyperlink>
    </w:p>
    <w:p w14:paraId="479F1FB3"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Nasser, G. A., &amp; Mahmoud, M. M. A. (2022b). Teaching English language vocabulary to EFL learners in the Arab region: A preliminary reading. </w:t>
      </w:r>
      <w:r>
        <w:rPr>
          <w:rFonts w:ascii="Times New Roman" w:eastAsia="Times New Roman" w:hAnsi="Times New Roman" w:cs="Times New Roman"/>
          <w:i/>
          <w:iCs/>
        </w:rPr>
        <w:t>Middle East Journal of TEFL</w:t>
      </w:r>
      <w:r>
        <w:rPr>
          <w:rFonts w:ascii="Times New Roman" w:eastAsia="Times New Roman" w:hAnsi="Times New Roman" w:cs="Times New Roman"/>
        </w:rPr>
        <w:t>,</w:t>
      </w:r>
      <w:r>
        <w:rPr>
          <w:rFonts w:ascii="Times New Roman" w:eastAsia="Times New Roman" w:hAnsi="Times New Roman" w:cs="Times New Roman"/>
          <w:i/>
          <w:iCs/>
        </w:rPr>
        <w:t xml:space="preserve"> 2</w:t>
      </w:r>
      <w:r>
        <w:rPr>
          <w:rFonts w:ascii="Times New Roman" w:eastAsia="Times New Roman" w:hAnsi="Times New Roman" w:cs="Times New Roman"/>
        </w:rPr>
        <w:t xml:space="preserve">(1), 24–39. </w:t>
      </w:r>
      <w:hyperlink r:id="rId40">
        <w:r>
          <w:rPr>
            <w:rFonts w:ascii="Times New Roman" w:eastAsia="Times New Roman" w:hAnsi="Times New Roman" w:cs="Times New Roman"/>
            <w:u w:val="single"/>
          </w:rPr>
          <w:t>https://doi.org/10.56498/399212022</w:t>
        </w:r>
      </w:hyperlink>
      <w:r>
        <w:rPr>
          <w:rFonts w:ascii="Times New Roman" w:eastAsia="Times New Roman" w:hAnsi="Times New Roman" w:cs="Times New Roman"/>
        </w:rPr>
        <w:t xml:space="preserve">  </w:t>
      </w:r>
    </w:p>
    <w:p w14:paraId="3E8FE96C" w14:textId="77777777" w:rsidR="00780386" w:rsidRDefault="00C443EB">
      <w:pPr>
        <w:ind w:left="709" w:hanging="709"/>
        <w:rPr>
          <w:rFonts w:ascii="Times New Roman" w:eastAsia="Times New Roman" w:hAnsi="Times New Roman" w:cs="Times New Roman"/>
          <w:i/>
          <w:iCs/>
        </w:rPr>
      </w:pPr>
      <w:r>
        <w:rPr>
          <w:rFonts w:ascii="Times New Roman" w:eastAsia="Times New Roman" w:hAnsi="Times New Roman" w:cs="Times New Roman"/>
        </w:rPr>
        <w:t xml:space="preserve">Nurislam, D. P., Waluyo, U. &amp; Lalu, J. P (2023). Exploring English teachers' strategies in teaching vocabulary: a study in selected junior high schools in Central Lombok.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Ilmiah</w:t>
      </w:r>
      <w:proofErr w:type="spellEnd"/>
      <w:r>
        <w:rPr>
          <w:rFonts w:ascii="Times New Roman" w:eastAsia="Times New Roman" w:hAnsi="Times New Roman" w:cs="Times New Roman"/>
          <w:i/>
          <w:iCs/>
        </w:rPr>
        <w:t xml:space="preserve"> Pendidikan Dasar.09 ISSUE 02 (MARCH, 2025) 758-769</w:t>
      </w:r>
    </w:p>
    <w:p w14:paraId="31FAB472" w14:textId="77777777" w:rsidR="00780386" w:rsidRDefault="00C443EB">
      <w:pPr>
        <w:ind w:left="709" w:hanging="709"/>
        <w:rPr>
          <w:rFonts w:ascii="Times New Roman" w:eastAsia="Times New Roman" w:hAnsi="Times New Roman" w:cs="Times New Roman"/>
        </w:rPr>
      </w:pPr>
      <w:proofErr w:type="spellStart"/>
      <w:r>
        <w:rPr>
          <w:rFonts w:ascii="Times New Roman" w:eastAsia="Times New Roman" w:hAnsi="Times New Roman" w:cs="Times New Roman"/>
        </w:rPr>
        <w:t>Pakpahan</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Azeva</w:t>
      </w:r>
      <w:proofErr w:type="spellEnd"/>
      <w:r>
        <w:rPr>
          <w:rFonts w:ascii="Times New Roman" w:eastAsia="Times New Roman" w:hAnsi="Times New Roman" w:cs="Times New Roman"/>
        </w:rPr>
        <w:t xml:space="preserve">, D. Z., Simanjuntak, A. A., </w:t>
      </w:r>
      <w:proofErr w:type="spellStart"/>
      <w:r>
        <w:rPr>
          <w:rFonts w:ascii="Times New Roman" w:eastAsia="Times New Roman" w:hAnsi="Times New Roman" w:cs="Times New Roman"/>
        </w:rPr>
        <w:t>Herlina</w:t>
      </w:r>
      <w:proofErr w:type="spellEnd"/>
      <w:r>
        <w:rPr>
          <w:rFonts w:ascii="Times New Roman" w:eastAsia="Times New Roman" w:hAnsi="Times New Roman" w:cs="Times New Roman"/>
        </w:rPr>
        <w:t xml:space="preserve">, H., Bahri, D. I., </w:t>
      </w:r>
      <w:proofErr w:type="spellStart"/>
      <w:r>
        <w:rPr>
          <w:rFonts w:ascii="Times New Roman" w:eastAsia="Times New Roman" w:hAnsi="Times New Roman" w:cs="Times New Roman"/>
        </w:rPr>
        <w:t>Deswandra</w:t>
      </w:r>
      <w:proofErr w:type="spellEnd"/>
      <w:r>
        <w:rPr>
          <w:rFonts w:ascii="Times New Roman" w:eastAsia="Times New Roman" w:hAnsi="Times New Roman" w:cs="Times New Roman"/>
        </w:rPr>
        <w:t>, I., Dewi, D. S., Sugiharti, S., Abra, E. H., &amp; Perwira, A. (2024)</w:t>
      </w:r>
      <w:r>
        <w:rPr>
          <w:rFonts w:ascii="Times New Roman" w:eastAsia="Times New Roman" w:hAnsi="Times New Roman" w:cs="Times New Roman"/>
          <w:i/>
          <w:iCs/>
        </w:rPr>
        <w:t xml:space="preserve">. </w:t>
      </w:r>
      <w:r>
        <w:rPr>
          <w:rFonts w:ascii="Times New Roman" w:eastAsia="Times New Roman" w:hAnsi="Times New Roman" w:cs="Times New Roman"/>
        </w:rPr>
        <w:t>Teacher’s strategies in overcoming learning barriers in EFL classroom.</w:t>
      </w:r>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Dimensi</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13</w:t>
      </w:r>
      <w:r>
        <w:rPr>
          <w:rFonts w:ascii="Times New Roman" w:eastAsia="Times New Roman" w:hAnsi="Times New Roman" w:cs="Times New Roman"/>
        </w:rPr>
        <w:t>(3)</w:t>
      </w:r>
      <w:r>
        <w:rPr>
          <w:rFonts w:ascii="Times New Roman" w:eastAsia="Times New Roman" w:hAnsi="Times New Roman" w:cs="Times New Roman"/>
          <w:i/>
          <w:iCs/>
        </w:rPr>
        <w:t>.</w:t>
      </w:r>
      <w:hyperlink r:id="rId41">
        <w:r>
          <w:rPr>
            <w:rFonts w:ascii="Times New Roman" w:eastAsia="Times New Roman" w:hAnsi="Times New Roman" w:cs="Times New Roman"/>
            <w:i/>
            <w:iCs/>
          </w:rPr>
          <w:t xml:space="preserve"> </w:t>
        </w:r>
      </w:hyperlink>
      <w:hyperlink r:id="rId42">
        <w:r>
          <w:rPr>
            <w:rFonts w:ascii="Times New Roman" w:eastAsia="Times New Roman" w:hAnsi="Times New Roman" w:cs="Times New Roman"/>
            <w:u w:val="single"/>
          </w:rPr>
          <w:t>https://www.journal.unrika.ac.id/index.php/jurnaldms/article/view/8193/pdf</w:t>
        </w:r>
      </w:hyperlink>
      <w:r>
        <w:rPr>
          <w:rFonts w:ascii="Times New Roman" w:eastAsia="Times New Roman" w:hAnsi="Times New Roman" w:cs="Times New Roman"/>
        </w:rPr>
        <w:t xml:space="preserve"> </w:t>
      </w:r>
    </w:p>
    <w:p w14:paraId="79E93594"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Putri, G. S., Sihotang, A. N., </w:t>
      </w:r>
      <w:proofErr w:type="spellStart"/>
      <w:r>
        <w:rPr>
          <w:rFonts w:ascii="Times New Roman" w:eastAsia="Times New Roman" w:hAnsi="Times New Roman" w:cs="Times New Roman"/>
        </w:rPr>
        <w:t>Tarigan</w:t>
      </w:r>
      <w:proofErr w:type="spellEnd"/>
      <w:r>
        <w:rPr>
          <w:rFonts w:ascii="Times New Roman" w:eastAsia="Times New Roman" w:hAnsi="Times New Roman" w:cs="Times New Roman"/>
        </w:rPr>
        <w:t xml:space="preserve">, S. N., &amp; </w:t>
      </w:r>
      <w:proofErr w:type="spellStart"/>
      <w:r>
        <w:rPr>
          <w:rFonts w:ascii="Times New Roman" w:eastAsia="Times New Roman" w:hAnsi="Times New Roman" w:cs="Times New Roman"/>
        </w:rPr>
        <w:t>Tarigan</w:t>
      </w:r>
      <w:proofErr w:type="spellEnd"/>
      <w:r>
        <w:rPr>
          <w:rFonts w:ascii="Times New Roman" w:eastAsia="Times New Roman" w:hAnsi="Times New Roman" w:cs="Times New Roman"/>
        </w:rPr>
        <w:t xml:space="preserve">, K. E. (2023). Improving students’ listening skills using watching movies. </w:t>
      </w:r>
      <w:r>
        <w:rPr>
          <w:rFonts w:ascii="Times New Roman" w:eastAsia="Times New Roman" w:hAnsi="Times New Roman" w:cs="Times New Roman"/>
          <w:i/>
          <w:iCs/>
        </w:rPr>
        <w:t xml:space="preserve">Interaction: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Pendidikan Bahasa,</w:t>
      </w:r>
      <w:r>
        <w:rPr>
          <w:rFonts w:ascii="Times New Roman" w:eastAsia="Times New Roman" w:hAnsi="Times New Roman" w:cs="Times New Roman"/>
        </w:rPr>
        <w:t xml:space="preserve"> </w:t>
      </w:r>
      <w:r>
        <w:rPr>
          <w:rFonts w:ascii="Times New Roman" w:eastAsia="Times New Roman" w:hAnsi="Times New Roman" w:cs="Times New Roman"/>
          <w:i/>
          <w:iCs/>
        </w:rPr>
        <w:t>10</w:t>
      </w:r>
      <w:r>
        <w:rPr>
          <w:rFonts w:ascii="Times New Roman" w:eastAsia="Times New Roman" w:hAnsi="Times New Roman" w:cs="Times New Roman"/>
        </w:rPr>
        <w:t xml:space="preserve">(1), 156–164. </w:t>
      </w:r>
      <w:hyperlink r:id="rId43">
        <w:r>
          <w:rPr>
            <w:rFonts w:ascii="Times New Roman" w:eastAsia="Times New Roman" w:hAnsi="Times New Roman" w:cs="Times New Roman"/>
            <w:u w:val="single"/>
          </w:rPr>
          <w:t>https://e-journal.unimudasorong.ac.id/index.php/interactionjournal/article/view/2398</w:t>
        </w:r>
      </w:hyperlink>
      <w:r>
        <w:rPr>
          <w:rFonts w:ascii="Times New Roman" w:eastAsia="Times New Roman" w:hAnsi="Times New Roman" w:cs="Times New Roman"/>
        </w:rPr>
        <w:t xml:space="preserve"> </w:t>
      </w:r>
    </w:p>
    <w:p w14:paraId="02B96981"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Salam, U. S., &amp; </w:t>
      </w:r>
      <w:proofErr w:type="spellStart"/>
      <w:r>
        <w:rPr>
          <w:rFonts w:ascii="Times New Roman" w:eastAsia="Times New Roman" w:hAnsi="Times New Roman" w:cs="Times New Roman"/>
        </w:rPr>
        <w:t>Nurnisa</w:t>
      </w:r>
      <w:proofErr w:type="spellEnd"/>
      <w:r>
        <w:rPr>
          <w:rFonts w:ascii="Times New Roman" w:eastAsia="Times New Roman" w:hAnsi="Times New Roman" w:cs="Times New Roman"/>
        </w:rPr>
        <w:t xml:space="preserve">, N. (2021). Students’ difficulties in learning vocabularies. </w:t>
      </w:r>
      <w:r>
        <w:rPr>
          <w:rFonts w:ascii="Times New Roman" w:eastAsia="Times New Roman" w:hAnsi="Times New Roman" w:cs="Times New Roman"/>
          <w:i/>
          <w:iCs/>
        </w:rPr>
        <w:t>English Community Journal, 5</w:t>
      </w:r>
      <w:r>
        <w:rPr>
          <w:rFonts w:ascii="Times New Roman" w:eastAsia="Times New Roman" w:hAnsi="Times New Roman" w:cs="Times New Roman"/>
        </w:rPr>
        <w:t xml:space="preserve">(1), 46-53. </w:t>
      </w:r>
      <w:hyperlink r:id="rId44">
        <w:r>
          <w:rPr>
            <w:rFonts w:ascii="Times New Roman" w:eastAsia="Times New Roman" w:hAnsi="Times New Roman" w:cs="Times New Roman"/>
            <w:u w:val="single"/>
          </w:rPr>
          <w:t>https://jurnal.um-palembang.ac.id/englishcommunity/article/view/3327</w:t>
        </w:r>
      </w:hyperlink>
      <w:r>
        <w:rPr>
          <w:rFonts w:ascii="Times New Roman" w:eastAsia="Times New Roman" w:hAnsi="Times New Roman" w:cs="Times New Roman"/>
        </w:rPr>
        <w:t xml:space="preserve"> </w:t>
      </w:r>
    </w:p>
    <w:p w14:paraId="1E111B5C"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highlight w:val="white"/>
        </w:rPr>
        <w:t xml:space="preserve">Schunk, D.H., Meece, J.L., &amp; </w:t>
      </w:r>
      <w:proofErr w:type="spellStart"/>
      <w:r>
        <w:rPr>
          <w:rFonts w:ascii="Times New Roman" w:eastAsia="Times New Roman" w:hAnsi="Times New Roman" w:cs="Times New Roman"/>
          <w:highlight w:val="white"/>
        </w:rPr>
        <w:t>Pintrich</w:t>
      </w:r>
      <w:proofErr w:type="spellEnd"/>
      <w:r>
        <w:rPr>
          <w:rFonts w:ascii="Times New Roman" w:eastAsia="Times New Roman" w:hAnsi="Times New Roman" w:cs="Times New Roman"/>
          <w:highlight w:val="white"/>
        </w:rPr>
        <w:t xml:space="preserve">, P.R. (2014). </w:t>
      </w:r>
      <w:r>
        <w:rPr>
          <w:rFonts w:ascii="Times New Roman" w:eastAsia="Times New Roman" w:hAnsi="Times New Roman" w:cs="Times New Roman"/>
          <w:i/>
          <w:iCs/>
          <w:highlight w:val="white"/>
        </w:rPr>
        <w:t>Motivation in education: theory, research, and applications</w:t>
      </w:r>
      <w:r>
        <w:rPr>
          <w:rFonts w:ascii="Times New Roman" w:eastAsia="Times New Roman" w:hAnsi="Times New Roman" w:cs="Times New Roman"/>
          <w:highlight w:val="white"/>
        </w:rPr>
        <w:t>. 4th Edition, Pearson, Boston.</w:t>
      </w:r>
    </w:p>
    <w:p w14:paraId="11535352"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Sukma, F. (2022). The implementation of self-regulated learning towards EFL students' speaking skills: senior high school case. </w:t>
      </w:r>
      <w:r>
        <w:rPr>
          <w:rFonts w:ascii="Times New Roman" w:eastAsia="Times New Roman" w:hAnsi="Times New Roman" w:cs="Times New Roman"/>
          <w:i/>
          <w:iCs/>
          <w:highlight w:val="white"/>
        </w:rPr>
        <w:t>Inspiring: English Education Journal</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5</w:t>
      </w:r>
      <w:r>
        <w:rPr>
          <w:rFonts w:ascii="Times New Roman" w:eastAsia="Times New Roman" w:hAnsi="Times New Roman" w:cs="Times New Roman"/>
          <w:highlight w:val="white"/>
        </w:rPr>
        <w:t xml:space="preserve">(2), 117–132. </w:t>
      </w:r>
      <w:hyperlink r:id="rId45">
        <w:r>
          <w:rPr>
            <w:rFonts w:ascii="Times New Roman" w:eastAsia="Times New Roman" w:hAnsi="Times New Roman" w:cs="Times New Roman"/>
            <w:highlight w:val="white"/>
            <w:u w:val="single"/>
          </w:rPr>
          <w:t>https://doi.org/10.35905/inspiring.v5i2.2721</w:t>
        </w:r>
      </w:hyperlink>
      <w:r>
        <w:rPr>
          <w:rFonts w:ascii="Times New Roman" w:eastAsia="Times New Roman" w:hAnsi="Times New Roman" w:cs="Times New Roman"/>
          <w:highlight w:val="white"/>
        </w:rPr>
        <w:t xml:space="preserve"> </w:t>
      </w:r>
    </w:p>
    <w:p w14:paraId="44B0326D"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Thornbury, S. (2002). </w:t>
      </w:r>
      <w:r>
        <w:rPr>
          <w:rFonts w:ascii="Times New Roman" w:eastAsia="Times New Roman" w:hAnsi="Times New Roman" w:cs="Times New Roman"/>
          <w:i/>
          <w:iCs/>
          <w:highlight w:val="white"/>
        </w:rPr>
        <w:t>How to teach vocabulary</w:t>
      </w:r>
      <w:r>
        <w:rPr>
          <w:rFonts w:ascii="Times New Roman" w:eastAsia="Times New Roman" w:hAnsi="Times New Roman" w:cs="Times New Roman"/>
          <w:highlight w:val="white"/>
        </w:rPr>
        <w:t>. Pearson Education Limited.</w:t>
      </w:r>
    </w:p>
    <w:p w14:paraId="368B5DEF" w14:textId="77777777" w:rsidR="00780386" w:rsidRDefault="00C443EB">
      <w:pPr>
        <w:ind w:left="709" w:hanging="709"/>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Tomlinson, C. A. (2014). </w:t>
      </w:r>
      <w:r>
        <w:rPr>
          <w:rFonts w:ascii="Times New Roman" w:eastAsia="Times New Roman" w:hAnsi="Times New Roman" w:cs="Times New Roman"/>
          <w:i/>
          <w:iCs/>
          <w:highlight w:val="white"/>
        </w:rPr>
        <w:t>The differentiated classroom: responding to the needs of all learners (2nd ed.).</w:t>
      </w:r>
      <w:r>
        <w:rPr>
          <w:rFonts w:ascii="Times New Roman" w:eastAsia="Times New Roman" w:hAnsi="Times New Roman" w:cs="Times New Roman"/>
          <w:highlight w:val="white"/>
        </w:rPr>
        <w:t xml:space="preserve"> Pearson Education.</w:t>
      </w:r>
    </w:p>
    <w:p w14:paraId="1B9F679A"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highlight w:val="white"/>
        </w:rPr>
        <w:t xml:space="preserve">Utomo, H. W., Kusakabe, T., </w:t>
      </w:r>
      <w:proofErr w:type="spellStart"/>
      <w:r>
        <w:rPr>
          <w:rFonts w:ascii="Times New Roman" w:eastAsia="Times New Roman" w:hAnsi="Times New Roman" w:cs="Times New Roman"/>
          <w:highlight w:val="white"/>
        </w:rPr>
        <w:t>Sultoni</w:t>
      </w:r>
      <w:proofErr w:type="spellEnd"/>
      <w:r>
        <w:rPr>
          <w:rFonts w:ascii="Times New Roman" w:eastAsia="Times New Roman" w:hAnsi="Times New Roman" w:cs="Times New Roman"/>
          <w:highlight w:val="white"/>
        </w:rPr>
        <w:t xml:space="preserve">, A., &amp; </w:t>
      </w:r>
      <w:proofErr w:type="spellStart"/>
      <w:r>
        <w:rPr>
          <w:rFonts w:ascii="Times New Roman" w:eastAsia="Times New Roman" w:hAnsi="Times New Roman" w:cs="Times New Roman"/>
          <w:highlight w:val="white"/>
        </w:rPr>
        <w:t>Setyowati</w:t>
      </w:r>
      <w:proofErr w:type="spellEnd"/>
      <w:r>
        <w:rPr>
          <w:rFonts w:ascii="Times New Roman" w:eastAsia="Times New Roman" w:hAnsi="Times New Roman" w:cs="Times New Roman"/>
          <w:highlight w:val="white"/>
        </w:rPr>
        <w:t xml:space="preserve">, D. (2020). Challenges faced by English teacher in teaching: a case study of junior high school in </w:t>
      </w:r>
      <w:proofErr w:type="spellStart"/>
      <w:r>
        <w:rPr>
          <w:rFonts w:ascii="Times New Roman" w:eastAsia="Times New Roman" w:hAnsi="Times New Roman" w:cs="Times New Roman"/>
          <w:highlight w:val="white"/>
        </w:rPr>
        <w:t>Banjarnegara</w:t>
      </w:r>
      <w:proofErr w:type="spellEnd"/>
      <w:r>
        <w:rPr>
          <w:rFonts w:ascii="Times New Roman" w:eastAsia="Times New Roman" w:hAnsi="Times New Roman" w:cs="Times New Roman"/>
          <w:highlight w:val="white"/>
        </w:rPr>
        <w:t xml:space="preserve"> Regency. </w:t>
      </w:r>
      <w:r>
        <w:rPr>
          <w:rFonts w:ascii="Times New Roman" w:eastAsia="Times New Roman" w:hAnsi="Times New Roman" w:cs="Times New Roman"/>
          <w:i/>
          <w:iCs/>
          <w:highlight w:val="white"/>
        </w:rPr>
        <w:t>JETL (Journal of Education, Teaching and Learning), 5</w:t>
      </w:r>
      <w:r>
        <w:rPr>
          <w:rFonts w:ascii="Times New Roman" w:eastAsia="Times New Roman" w:hAnsi="Times New Roman" w:cs="Times New Roman"/>
          <w:highlight w:val="white"/>
        </w:rPr>
        <w:t xml:space="preserve">(1), 34. </w:t>
      </w:r>
      <w:hyperlink r:id="rId46">
        <w:r>
          <w:rPr>
            <w:rFonts w:ascii="Times New Roman" w:eastAsia="Times New Roman" w:hAnsi="Times New Roman" w:cs="Times New Roman"/>
            <w:highlight w:val="white"/>
            <w:u w:val="single"/>
          </w:rPr>
          <w:t>https://doi.org/10.26737/jetl.v5i1.1689</w:t>
        </w:r>
      </w:hyperlink>
    </w:p>
    <w:p w14:paraId="4D564740"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Vygotsky, L. S. (1978). In mind in society: the development of higher psychological processes. (Vol. 108, Issues 3–4). </w:t>
      </w:r>
      <w:r>
        <w:rPr>
          <w:rFonts w:ascii="Times New Roman" w:eastAsia="Times New Roman" w:hAnsi="Times New Roman" w:cs="Times New Roman"/>
          <w:i/>
          <w:iCs/>
        </w:rPr>
        <w:t>Harvard University Press</w:t>
      </w:r>
      <w:r>
        <w:rPr>
          <w:rFonts w:ascii="Times New Roman" w:eastAsia="Times New Roman" w:hAnsi="Times New Roman" w:cs="Times New Roman"/>
        </w:rPr>
        <w:t xml:space="preserve">. </w:t>
      </w:r>
    </w:p>
    <w:p w14:paraId="01F846F5"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Weda Dharmayasa, I. N. W. (2023). Implementing the hangman game in teaching English vocabulary to elementary school students.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Pendidikan Bahasa </w:t>
      </w:r>
      <w:proofErr w:type="spellStart"/>
      <w:r>
        <w:rPr>
          <w:rFonts w:ascii="Times New Roman" w:eastAsia="Times New Roman" w:hAnsi="Times New Roman" w:cs="Times New Roman"/>
          <w:i/>
          <w:iCs/>
        </w:rPr>
        <w:t>Inggris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Undiksha</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10</w:t>
      </w:r>
      <w:r>
        <w:rPr>
          <w:rFonts w:ascii="Times New Roman" w:eastAsia="Times New Roman" w:hAnsi="Times New Roman" w:cs="Times New Roman"/>
        </w:rPr>
        <w:t xml:space="preserve">(3), 291–297. </w:t>
      </w:r>
      <w:hyperlink r:id="rId47">
        <w:r>
          <w:rPr>
            <w:rFonts w:ascii="Times New Roman" w:eastAsia="Times New Roman" w:hAnsi="Times New Roman" w:cs="Times New Roman"/>
            <w:u w:val="single"/>
          </w:rPr>
          <w:t>https://doi.org/10.23887/jpbi.v10i3.58140</w:t>
        </w:r>
      </w:hyperlink>
      <w:r>
        <w:rPr>
          <w:rFonts w:ascii="Times New Roman" w:eastAsia="Times New Roman" w:hAnsi="Times New Roman" w:cs="Times New Roman"/>
        </w:rPr>
        <w:t xml:space="preserve"> </w:t>
      </w:r>
    </w:p>
    <w:p w14:paraId="2CC6DD47" w14:textId="77777777" w:rsidR="00780386" w:rsidRDefault="00C443EB">
      <w:pPr>
        <w:ind w:left="709" w:hanging="709"/>
        <w:rPr>
          <w:rFonts w:ascii="Times New Roman" w:eastAsia="Times New Roman" w:hAnsi="Times New Roman" w:cs="Times New Roman"/>
        </w:rPr>
      </w:pPr>
      <w:r>
        <w:rPr>
          <w:rFonts w:ascii="Times New Roman" w:eastAsia="Times New Roman" w:hAnsi="Times New Roman" w:cs="Times New Roman"/>
        </w:rPr>
        <w:t xml:space="preserve">Wan, Y. (2022). The application of scaffolding instruction to vocabulary teaching in primary school. </w:t>
      </w:r>
      <w:r>
        <w:rPr>
          <w:rFonts w:ascii="Times New Roman" w:eastAsia="Times New Roman" w:hAnsi="Times New Roman" w:cs="Times New Roman"/>
          <w:i/>
          <w:iCs/>
        </w:rPr>
        <w:t>Journal of Higher Education Research</w:t>
      </w:r>
      <w:r>
        <w:rPr>
          <w:rFonts w:ascii="Times New Roman" w:eastAsia="Times New Roman" w:hAnsi="Times New Roman" w:cs="Times New Roman"/>
        </w:rPr>
        <w:t xml:space="preserve">, 3(2), 194. </w:t>
      </w:r>
      <w:hyperlink r:id="rId48">
        <w:r>
          <w:rPr>
            <w:rFonts w:ascii="Times New Roman" w:eastAsia="Times New Roman" w:hAnsi="Times New Roman" w:cs="Times New Roman"/>
            <w:u w:val="single"/>
          </w:rPr>
          <w:t>https://doi.org/10.32629/jher.v3i2.755</w:t>
        </w:r>
      </w:hyperlink>
      <w:r>
        <w:rPr>
          <w:rFonts w:ascii="Times New Roman" w:eastAsia="Times New Roman" w:hAnsi="Times New Roman" w:cs="Times New Roman"/>
        </w:rPr>
        <w:t xml:space="preserve"> </w:t>
      </w:r>
    </w:p>
    <w:p w14:paraId="6423B014" w14:textId="77777777" w:rsidR="00780386" w:rsidRDefault="00C443EB">
      <w:pPr>
        <w:pBdr>
          <w:top w:val="nil"/>
          <w:left w:val="nil"/>
          <w:bottom w:val="none" w:sz="0" w:space="0" w:color="000000"/>
          <w:right w:val="nil"/>
          <w:between w:val="nil"/>
        </w:pBdr>
        <w:spacing w:after="120"/>
        <w:ind w:left="720" w:hanging="720"/>
      </w:pPr>
      <w:r>
        <w:rPr>
          <w:rFonts w:ascii="Times New Roman" w:eastAsia="Times New Roman" w:hAnsi="Times New Roman" w:cs="Times New Roman"/>
        </w:rPr>
        <w:t xml:space="preserve">Zhai, C., Wibowo, S., &amp; Li, L. D. (2024). The effects of over-reliance on AI dialogue systems on students’ cognitive abilities: a systematic review. </w:t>
      </w:r>
      <w:r>
        <w:rPr>
          <w:rFonts w:ascii="Times New Roman" w:eastAsia="Times New Roman" w:hAnsi="Times New Roman" w:cs="Times New Roman"/>
          <w:i/>
          <w:iCs/>
        </w:rPr>
        <w:t>Smart Learning Environments</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 xml:space="preserve">(1). </w:t>
      </w:r>
      <w:hyperlink r:id="rId49">
        <w:r>
          <w:rPr>
            <w:rFonts w:ascii="Times New Roman" w:eastAsia="Times New Roman" w:hAnsi="Times New Roman" w:cs="Times New Roman"/>
            <w:u w:val="single"/>
          </w:rPr>
          <w:t>https://doi.org/10.1186/s40561-024-00316-7</w:t>
        </w:r>
      </w:hyperlink>
    </w:p>
    <w:sectPr w:rsidR="00780386" w:rsidSect="008E0200">
      <w:headerReference w:type="even" r:id="rId50"/>
      <w:headerReference w:type="default" r:id="rId51"/>
      <w:footerReference w:type="even" r:id="rId52"/>
      <w:footerReference w:type="default" r:id="rId53"/>
      <w:headerReference w:type="first" r:id="rId54"/>
      <w:footerReference w:type="first" r:id="rId55"/>
      <w:pgSz w:w="11906" w:h="16838"/>
      <w:pgMar w:top="1701" w:right="1134" w:bottom="1985" w:left="1701" w:header="624" w:footer="567" w:gutter="0"/>
      <w:pgNumType w:start="36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6D2E" w14:textId="77777777" w:rsidR="0032098B" w:rsidRDefault="0032098B">
      <w:r>
        <w:separator/>
      </w:r>
    </w:p>
  </w:endnote>
  <w:endnote w:type="continuationSeparator" w:id="0">
    <w:p w14:paraId="624B13A4" w14:textId="77777777" w:rsidR="0032098B" w:rsidRDefault="0032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re Baskerville">
    <w:charset w:val="00"/>
    <w:family w:val="auto"/>
    <w:pitch w:val="variable"/>
    <w:sig w:usb0="A00000BF" w:usb1="5000005B" w:usb2="00000000" w:usb3="00000000" w:csb0="00000093" w:csb1="00000000"/>
    <w:embedRegular r:id="rId1" w:fontKey="{7954C4E4-1101-4E8D-9918-F9B984D7CF90}"/>
    <w:embedBold r:id="rId2" w:fontKey="{54A1C033-7AEE-4150-848B-556C736C455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0AB5DE3-EB67-4116-9159-B2C29E2746FB}"/>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4" w:fontKey="{629E4DB1-24A5-4039-822E-F215D202F77A}"/>
    <w:embedBold r:id="rId5" w:fontKey="{6D480D85-7107-4B2D-93C4-4A9C0250E714}"/>
  </w:font>
  <w:font w:name="Palatino Linotype">
    <w:panose1 w:val="02040502050505030304"/>
    <w:charset w:val="00"/>
    <w:family w:val="roman"/>
    <w:pitch w:val="variable"/>
    <w:sig w:usb0="E0000287" w:usb1="40000013" w:usb2="00000000" w:usb3="00000000" w:csb0="0000019F" w:csb1="00000000"/>
    <w:embedRegular r:id="rId6" w:fontKey="{D39F0DC9-844A-4448-B7CD-30D47FDA4DD9}"/>
    <w:embedBold r:id="rId7" w:fontKey="{9F1B0DF1-EB79-4E43-A076-6F6A005C340F}"/>
  </w:font>
  <w:font w:name="Calibri">
    <w:panose1 w:val="020F0502020204030204"/>
    <w:charset w:val="00"/>
    <w:family w:val="swiss"/>
    <w:pitch w:val="variable"/>
    <w:sig w:usb0="E4002EFF" w:usb1="C200247B" w:usb2="00000009" w:usb3="00000000" w:csb0="000001FF" w:csb1="00000000"/>
    <w:embedRegular r:id="rId8" w:fontKey="{0D513A73-D6AA-447C-9C72-D00115AE62F8}"/>
  </w:font>
  <w:font w:name="Cambria">
    <w:panose1 w:val="02040503050406030204"/>
    <w:charset w:val="00"/>
    <w:family w:val="roman"/>
    <w:pitch w:val="variable"/>
    <w:sig w:usb0="E00006FF" w:usb1="420024FF" w:usb2="02000000" w:usb3="00000000" w:csb0="0000019F" w:csb1="00000000"/>
    <w:embedRegular r:id="rId9" w:fontKey="{F95ACAE0-7155-49E7-9C9B-3BA3C0E9D7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EE03" w14:textId="77777777" w:rsidR="00780386" w:rsidRDefault="00780386">
    <w:pPr>
      <w:widowControl w:val="0"/>
      <w:pBdr>
        <w:top w:val="nil"/>
        <w:left w:val="nil"/>
        <w:bottom w:val="nil"/>
        <w:right w:val="nil"/>
        <w:between w:val="nil"/>
      </w:pBdr>
      <w:spacing w:line="276" w:lineRule="auto"/>
      <w:ind w:firstLine="0"/>
      <w:jc w:val="left"/>
      <w:rPr>
        <w:color w:val="000000"/>
      </w:rPr>
    </w:pPr>
  </w:p>
  <w:tbl>
    <w:tblPr>
      <w:tblStyle w:val="a1"/>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07"/>
      <w:gridCol w:w="7980"/>
    </w:tblGrid>
    <w:tr w:rsidR="00780386" w14:paraId="18575C80" w14:textId="77777777">
      <w:tc>
        <w:tcPr>
          <w:tcW w:w="807" w:type="dxa"/>
          <w:tcBorders>
            <w:right w:val="single" w:sz="12" w:space="0" w:color="FFDE59"/>
          </w:tcBorders>
        </w:tcPr>
        <w:p w14:paraId="7C5AB211" w14:textId="58E897F6" w:rsidR="00780386" w:rsidRDefault="00C443EB">
          <w:pPr>
            <w:pBdr>
              <w:top w:val="nil"/>
              <w:left w:val="nil"/>
              <w:bottom w:val="nil"/>
              <w:right w:val="nil"/>
              <w:between w:val="nil"/>
            </w:pBdr>
            <w:tabs>
              <w:tab w:val="center" w:pos="4513"/>
              <w:tab w:val="right" w:pos="9026"/>
            </w:tabs>
            <w:ind w:firstLine="0"/>
            <w:jc w:val="right"/>
            <w:rPr>
              <w:rFonts w:ascii="Open Sans" w:eastAsia="Open Sans" w:hAnsi="Open Sans" w:cs="Open Sans"/>
              <w:color w:val="000000"/>
            </w:rPr>
          </w:pP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8E0200">
            <w:rPr>
              <w:rFonts w:ascii="Open Sans" w:eastAsia="Open Sans" w:hAnsi="Open Sans" w:cs="Open Sans"/>
              <w:noProof/>
              <w:color w:val="000000"/>
            </w:rPr>
            <w:t>378</w:t>
          </w:r>
          <w:r>
            <w:rPr>
              <w:rFonts w:ascii="Open Sans" w:eastAsia="Open Sans" w:hAnsi="Open Sans" w:cs="Open Sans"/>
              <w:color w:val="000000"/>
            </w:rPr>
            <w:fldChar w:fldCharType="end"/>
          </w:r>
        </w:p>
      </w:tc>
      <w:tc>
        <w:tcPr>
          <w:tcW w:w="7980" w:type="dxa"/>
          <w:tcBorders>
            <w:left w:val="single" w:sz="12" w:space="0" w:color="FFDE59"/>
          </w:tcBorders>
        </w:tcPr>
        <w:p w14:paraId="3E6E333B" w14:textId="77777777" w:rsidR="00780386" w:rsidRDefault="00C443EB">
          <w:pPr>
            <w:pBdr>
              <w:top w:val="nil"/>
              <w:left w:val="nil"/>
              <w:bottom w:val="nil"/>
              <w:right w:val="nil"/>
              <w:between w:val="nil"/>
            </w:pBdr>
            <w:tabs>
              <w:tab w:val="center" w:pos="4513"/>
              <w:tab w:val="right" w:pos="9026"/>
            </w:tabs>
            <w:ind w:firstLine="0"/>
            <w:rPr>
              <w:color w:val="000000"/>
              <w:sz w:val="20"/>
              <w:szCs w:val="20"/>
            </w:rPr>
          </w:pPr>
          <w:r>
            <w:rPr>
              <w:noProof/>
              <w:color w:val="000000"/>
              <w:sz w:val="20"/>
              <w:szCs w:val="20"/>
              <w:lang w:val="en-US" w:eastAsia="en-US"/>
            </w:rPr>
            <w:drawing>
              <wp:inline distT="0" distB="0" distL="0" distR="0" wp14:anchorId="2D407CDD" wp14:editId="1E02E45B">
                <wp:extent cx="853440" cy="2984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3440" cy="298450"/>
                        </a:xfrm>
                        <a:prstGeom prst="rect">
                          <a:avLst/>
                        </a:prstGeom>
                        <a:ln/>
                      </pic:spPr>
                    </pic:pic>
                  </a:graphicData>
                </a:graphic>
              </wp:inline>
            </w:drawing>
          </w:r>
        </w:p>
        <w:p w14:paraId="24B03E6B" w14:textId="77777777" w:rsidR="00780386" w:rsidRPr="00E32193" w:rsidRDefault="00C443EB">
          <w:pPr>
            <w:pBdr>
              <w:top w:val="nil"/>
              <w:left w:val="nil"/>
              <w:bottom w:val="nil"/>
              <w:right w:val="nil"/>
              <w:between w:val="nil"/>
            </w:pBdr>
            <w:tabs>
              <w:tab w:val="center" w:pos="4513"/>
              <w:tab w:val="right" w:pos="9026"/>
            </w:tabs>
            <w:ind w:firstLine="0"/>
            <w:rPr>
              <w:rFonts w:ascii="Open Sans" w:eastAsia="Open Sans" w:hAnsi="Open Sans" w:cs="Open Sans"/>
              <w:color w:val="000000"/>
            </w:rPr>
          </w:pPr>
          <w:r w:rsidRPr="00E32193">
            <w:rPr>
              <w:rFonts w:ascii="Open Sans" w:eastAsia="Open Sans" w:hAnsi="Open Sans" w:cs="Open Sans"/>
              <w:color w:val="000000"/>
              <w:sz w:val="16"/>
              <w:szCs w:val="16"/>
            </w:rPr>
            <w:t>Creative Commons Attribution-</w:t>
          </w:r>
          <w:proofErr w:type="spellStart"/>
          <w:r w:rsidRPr="00E32193">
            <w:rPr>
              <w:rFonts w:ascii="Open Sans" w:eastAsia="Open Sans" w:hAnsi="Open Sans" w:cs="Open Sans"/>
              <w:color w:val="000000"/>
              <w:sz w:val="16"/>
              <w:szCs w:val="16"/>
            </w:rPr>
            <w:t>NonCommercial</w:t>
          </w:r>
          <w:proofErr w:type="spellEnd"/>
          <w:r w:rsidRPr="00E32193">
            <w:rPr>
              <w:rFonts w:ascii="Open Sans" w:eastAsia="Open Sans" w:hAnsi="Open Sans" w:cs="Open Sans"/>
              <w:color w:val="000000"/>
              <w:sz w:val="16"/>
              <w:szCs w:val="16"/>
            </w:rPr>
            <w:t>-</w:t>
          </w:r>
          <w:proofErr w:type="spellStart"/>
          <w:r w:rsidRPr="00E32193">
            <w:rPr>
              <w:rFonts w:ascii="Open Sans" w:eastAsia="Open Sans" w:hAnsi="Open Sans" w:cs="Open Sans"/>
              <w:color w:val="000000"/>
              <w:sz w:val="16"/>
              <w:szCs w:val="16"/>
            </w:rPr>
            <w:t>NoDerivatives</w:t>
          </w:r>
          <w:proofErr w:type="spellEnd"/>
          <w:r w:rsidRPr="00E32193">
            <w:rPr>
              <w:rFonts w:ascii="Open Sans" w:eastAsia="Open Sans" w:hAnsi="Open Sans" w:cs="Open Sans"/>
              <w:color w:val="000000"/>
              <w:sz w:val="16"/>
              <w:szCs w:val="16"/>
            </w:rPr>
            <w:t xml:space="preserve"> 4.0 International License</w:t>
          </w:r>
        </w:p>
      </w:tc>
    </w:tr>
  </w:tbl>
  <w:p w14:paraId="6A8454DE" w14:textId="77777777" w:rsidR="00780386" w:rsidRDefault="00780386">
    <w:pPr>
      <w:pBdr>
        <w:top w:val="nil"/>
        <w:left w:val="nil"/>
        <w:bottom w:val="nil"/>
        <w:right w:val="nil"/>
        <w:between w:val="nil"/>
      </w:pBdr>
      <w:tabs>
        <w:tab w:val="center" w:pos="4513"/>
        <w:tab w:val="right" w:pos="9026"/>
      </w:tabs>
      <w:ind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661A" w14:textId="77777777" w:rsidR="00780386" w:rsidRDefault="00780386">
    <w:pPr>
      <w:widowControl w:val="0"/>
      <w:pBdr>
        <w:top w:val="nil"/>
        <w:left w:val="nil"/>
        <w:bottom w:val="nil"/>
        <w:right w:val="nil"/>
        <w:between w:val="nil"/>
      </w:pBdr>
      <w:spacing w:line="276" w:lineRule="auto"/>
      <w:ind w:firstLine="0"/>
      <w:jc w:val="left"/>
      <w:rPr>
        <w:color w:val="000000"/>
      </w:rPr>
    </w:pPr>
  </w:p>
  <w:tbl>
    <w:tblPr>
      <w:tblStyle w:val="a0"/>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982"/>
      <w:gridCol w:w="805"/>
    </w:tblGrid>
    <w:tr w:rsidR="00780386" w14:paraId="0BBD2413" w14:textId="77777777">
      <w:tc>
        <w:tcPr>
          <w:tcW w:w="7982" w:type="dxa"/>
          <w:tcBorders>
            <w:right w:val="single" w:sz="12" w:space="0" w:color="FFDE59"/>
          </w:tcBorders>
        </w:tcPr>
        <w:p w14:paraId="7428E436" w14:textId="77777777" w:rsidR="00780386" w:rsidRDefault="00C443EB">
          <w:pPr>
            <w:pBdr>
              <w:top w:val="nil"/>
              <w:left w:val="nil"/>
              <w:bottom w:val="nil"/>
              <w:right w:val="nil"/>
              <w:between w:val="nil"/>
            </w:pBdr>
            <w:tabs>
              <w:tab w:val="center" w:pos="4513"/>
              <w:tab w:val="right" w:pos="9026"/>
            </w:tabs>
            <w:ind w:firstLine="0"/>
            <w:jc w:val="right"/>
            <w:rPr>
              <w:color w:val="000000"/>
              <w:sz w:val="20"/>
              <w:szCs w:val="20"/>
            </w:rPr>
          </w:pPr>
          <w:r>
            <w:rPr>
              <w:noProof/>
              <w:color w:val="000000"/>
              <w:sz w:val="20"/>
              <w:szCs w:val="20"/>
              <w:lang w:val="en-US" w:eastAsia="en-US"/>
            </w:rPr>
            <w:drawing>
              <wp:inline distT="0" distB="0" distL="0" distR="0" wp14:anchorId="6FFF4821" wp14:editId="2F7F085C">
                <wp:extent cx="853440" cy="2984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3440" cy="298450"/>
                        </a:xfrm>
                        <a:prstGeom prst="rect">
                          <a:avLst/>
                        </a:prstGeom>
                        <a:ln/>
                      </pic:spPr>
                    </pic:pic>
                  </a:graphicData>
                </a:graphic>
              </wp:inline>
            </w:drawing>
          </w:r>
        </w:p>
        <w:p w14:paraId="5FC7D39E" w14:textId="77777777" w:rsidR="00780386" w:rsidRPr="00E32193" w:rsidRDefault="00C443EB">
          <w:pPr>
            <w:pBdr>
              <w:top w:val="nil"/>
              <w:left w:val="nil"/>
              <w:bottom w:val="nil"/>
              <w:right w:val="nil"/>
              <w:between w:val="nil"/>
            </w:pBdr>
            <w:tabs>
              <w:tab w:val="center" w:pos="4513"/>
              <w:tab w:val="right" w:pos="9026"/>
            </w:tabs>
            <w:ind w:firstLine="0"/>
            <w:jc w:val="right"/>
            <w:rPr>
              <w:rFonts w:ascii="Open Sans" w:eastAsia="Open Sans" w:hAnsi="Open Sans" w:cs="Open Sans"/>
              <w:color w:val="000000"/>
            </w:rPr>
          </w:pPr>
          <w:r w:rsidRPr="00E32193">
            <w:rPr>
              <w:rFonts w:ascii="Open Sans" w:eastAsia="Open Sans" w:hAnsi="Open Sans" w:cs="Open Sans"/>
              <w:color w:val="000000"/>
              <w:sz w:val="16"/>
              <w:szCs w:val="16"/>
            </w:rPr>
            <w:t>Creative Commons Attribution-</w:t>
          </w:r>
          <w:proofErr w:type="spellStart"/>
          <w:r w:rsidRPr="00E32193">
            <w:rPr>
              <w:rFonts w:ascii="Open Sans" w:eastAsia="Open Sans" w:hAnsi="Open Sans" w:cs="Open Sans"/>
              <w:color w:val="000000"/>
              <w:sz w:val="16"/>
              <w:szCs w:val="16"/>
            </w:rPr>
            <w:t>NonCommercial</w:t>
          </w:r>
          <w:proofErr w:type="spellEnd"/>
          <w:r w:rsidRPr="00E32193">
            <w:rPr>
              <w:rFonts w:ascii="Open Sans" w:eastAsia="Open Sans" w:hAnsi="Open Sans" w:cs="Open Sans"/>
              <w:color w:val="000000"/>
              <w:sz w:val="16"/>
              <w:szCs w:val="16"/>
            </w:rPr>
            <w:t>-</w:t>
          </w:r>
          <w:proofErr w:type="spellStart"/>
          <w:r w:rsidRPr="00E32193">
            <w:rPr>
              <w:rFonts w:ascii="Open Sans" w:eastAsia="Open Sans" w:hAnsi="Open Sans" w:cs="Open Sans"/>
              <w:color w:val="000000"/>
              <w:sz w:val="16"/>
              <w:szCs w:val="16"/>
            </w:rPr>
            <w:t>NoDerivatives</w:t>
          </w:r>
          <w:proofErr w:type="spellEnd"/>
          <w:r w:rsidRPr="00E32193">
            <w:rPr>
              <w:rFonts w:ascii="Open Sans" w:eastAsia="Open Sans" w:hAnsi="Open Sans" w:cs="Open Sans"/>
              <w:color w:val="000000"/>
              <w:sz w:val="16"/>
              <w:szCs w:val="16"/>
            </w:rPr>
            <w:t xml:space="preserve"> 4.0 International License</w:t>
          </w:r>
        </w:p>
      </w:tc>
      <w:tc>
        <w:tcPr>
          <w:tcW w:w="805" w:type="dxa"/>
          <w:tcBorders>
            <w:left w:val="single" w:sz="12" w:space="0" w:color="FFDE59"/>
          </w:tcBorders>
        </w:tcPr>
        <w:p w14:paraId="100E32BD" w14:textId="7BBF3178" w:rsidR="00780386" w:rsidRDefault="00C443EB">
          <w:pPr>
            <w:pBdr>
              <w:top w:val="nil"/>
              <w:left w:val="nil"/>
              <w:bottom w:val="nil"/>
              <w:right w:val="nil"/>
              <w:between w:val="nil"/>
            </w:pBdr>
            <w:tabs>
              <w:tab w:val="center" w:pos="4513"/>
              <w:tab w:val="right" w:pos="9026"/>
            </w:tabs>
            <w:ind w:firstLine="0"/>
            <w:jc w:val="left"/>
            <w:rPr>
              <w:rFonts w:ascii="Open Sans" w:eastAsia="Open Sans" w:hAnsi="Open Sans" w:cs="Open Sans"/>
              <w:color w:val="000000"/>
            </w:rPr>
          </w:pP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8E0200">
            <w:rPr>
              <w:rFonts w:ascii="Open Sans" w:eastAsia="Open Sans" w:hAnsi="Open Sans" w:cs="Open Sans"/>
              <w:noProof/>
              <w:color w:val="000000"/>
            </w:rPr>
            <w:t>377</w:t>
          </w:r>
          <w:r>
            <w:rPr>
              <w:rFonts w:ascii="Open Sans" w:eastAsia="Open Sans" w:hAnsi="Open Sans" w:cs="Open Sans"/>
              <w:color w:val="000000"/>
            </w:rPr>
            <w:fldChar w:fldCharType="end"/>
          </w:r>
        </w:p>
      </w:tc>
    </w:tr>
  </w:tbl>
  <w:p w14:paraId="721DB535" w14:textId="77777777" w:rsidR="00780386" w:rsidRDefault="00780386">
    <w:pPr>
      <w:pBdr>
        <w:top w:val="nil"/>
        <w:left w:val="nil"/>
        <w:bottom w:val="nil"/>
        <w:right w:val="nil"/>
        <w:between w:val="nil"/>
      </w:pBdr>
      <w:tabs>
        <w:tab w:val="center" w:pos="4513"/>
        <w:tab w:val="right" w:pos="9026"/>
      </w:tabs>
      <w:ind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13A4" w14:textId="5AC255E9" w:rsidR="00780386" w:rsidRPr="00E32193" w:rsidRDefault="00C443EB">
    <w:pPr>
      <w:pBdr>
        <w:top w:val="nil"/>
        <w:left w:val="nil"/>
        <w:bottom w:val="nil"/>
        <w:right w:val="nil"/>
        <w:between w:val="nil"/>
      </w:pBdr>
      <w:tabs>
        <w:tab w:val="center" w:pos="4513"/>
        <w:tab w:val="right" w:pos="9026"/>
      </w:tabs>
      <w:ind w:firstLine="0"/>
      <w:jc w:val="center"/>
      <w:rPr>
        <w:rFonts w:ascii="Open Sans" w:eastAsia="Open Sans" w:hAnsi="Open Sans" w:cs="Open Sans"/>
        <w:color w:val="000000"/>
        <w:sz w:val="20"/>
        <w:szCs w:val="20"/>
      </w:rPr>
    </w:pPr>
    <w:r w:rsidRPr="00E32193">
      <w:rPr>
        <w:rFonts w:ascii="Open Sans" w:eastAsia="Open Sans" w:hAnsi="Open Sans" w:cs="Open Sans"/>
        <w:color w:val="000000"/>
        <w:sz w:val="20"/>
        <w:szCs w:val="20"/>
      </w:rPr>
      <w:fldChar w:fldCharType="begin"/>
    </w:r>
    <w:r w:rsidRPr="00E32193">
      <w:rPr>
        <w:rFonts w:ascii="Open Sans" w:eastAsia="Open Sans" w:hAnsi="Open Sans" w:cs="Open Sans"/>
        <w:color w:val="000000"/>
        <w:sz w:val="20"/>
        <w:szCs w:val="20"/>
      </w:rPr>
      <w:instrText>PAGE</w:instrText>
    </w:r>
    <w:r w:rsidRPr="00E32193">
      <w:rPr>
        <w:rFonts w:ascii="Open Sans" w:eastAsia="Open Sans" w:hAnsi="Open Sans" w:cs="Open Sans"/>
        <w:color w:val="000000"/>
        <w:sz w:val="20"/>
        <w:szCs w:val="20"/>
      </w:rPr>
      <w:fldChar w:fldCharType="separate"/>
    </w:r>
    <w:r w:rsidR="008E0200">
      <w:rPr>
        <w:rFonts w:ascii="Open Sans" w:eastAsia="Open Sans" w:hAnsi="Open Sans" w:cs="Open Sans"/>
        <w:noProof/>
        <w:color w:val="000000"/>
        <w:sz w:val="20"/>
        <w:szCs w:val="20"/>
      </w:rPr>
      <w:t>369</w:t>
    </w:r>
    <w:r w:rsidRPr="00E32193">
      <w:rPr>
        <w:rFonts w:ascii="Open Sans" w:eastAsia="Open Sans" w:hAnsi="Open Sans" w:cs="Open Sans"/>
        <w:color w:val="000000"/>
        <w:sz w:val="20"/>
        <w:szCs w:val="20"/>
      </w:rPr>
      <w:fldChar w:fldCharType="end"/>
    </w:r>
  </w:p>
  <w:p w14:paraId="06DF3DF1" w14:textId="77777777" w:rsidR="00780386" w:rsidRDefault="00780386">
    <w:pPr>
      <w:pBdr>
        <w:top w:val="nil"/>
        <w:left w:val="nil"/>
        <w:bottom w:val="nil"/>
        <w:right w:val="nil"/>
        <w:between w:val="nil"/>
      </w:pBdr>
      <w:tabs>
        <w:tab w:val="center" w:pos="4513"/>
        <w:tab w:val="right" w:pos="9026"/>
      </w:tabs>
      <w:ind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4412" w14:textId="77777777" w:rsidR="0032098B" w:rsidRDefault="0032098B">
      <w:r>
        <w:separator/>
      </w:r>
    </w:p>
  </w:footnote>
  <w:footnote w:type="continuationSeparator" w:id="0">
    <w:p w14:paraId="47EBC036" w14:textId="77777777" w:rsidR="0032098B" w:rsidRDefault="00320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EC64" w14:textId="77777777" w:rsidR="00780386" w:rsidRPr="00E32193" w:rsidRDefault="00C443EB">
    <w:pPr>
      <w:pBdr>
        <w:top w:val="nil"/>
        <w:left w:val="nil"/>
        <w:bottom w:val="nil"/>
        <w:right w:val="nil"/>
        <w:between w:val="nil"/>
      </w:pBdr>
      <w:tabs>
        <w:tab w:val="center" w:pos="4513"/>
        <w:tab w:val="right" w:pos="9026"/>
      </w:tabs>
      <w:ind w:firstLine="0"/>
      <w:jc w:val="left"/>
      <w:rPr>
        <w:rFonts w:ascii="Open Sans" w:eastAsia="Open Sans" w:hAnsi="Open Sans" w:cs="Open Sans"/>
        <w:b/>
        <w:bCs/>
        <w:color w:val="000000"/>
        <w:sz w:val="20"/>
        <w:szCs w:val="20"/>
      </w:rPr>
    </w:pPr>
    <w:r w:rsidRPr="00E32193">
      <w:rPr>
        <w:rFonts w:ascii="Open Sans" w:eastAsia="Open Sans" w:hAnsi="Open Sans" w:cs="Open Sans"/>
        <w:b/>
        <w:bCs/>
        <w:color w:val="000000"/>
        <w:sz w:val="20"/>
        <w:szCs w:val="20"/>
      </w:rPr>
      <w:t xml:space="preserve">INFERENCE: Journal of English Language Teaching </w:t>
    </w:r>
  </w:p>
  <w:p w14:paraId="6BB9807B" w14:textId="3133CEAB" w:rsidR="00780386" w:rsidRPr="00E32193" w:rsidRDefault="00B77FFA">
    <w:pPr>
      <w:pBdr>
        <w:top w:val="nil"/>
        <w:left w:val="nil"/>
        <w:bottom w:val="nil"/>
        <w:right w:val="nil"/>
        <w:between w:val="nil"/>
      </w:pBdr>
      <w:tabs>
        <w:tab w:val="center" w:pos="4513"/>
        <w:tab w:val="right" w:pos="9026"/>
      </w:tabs>
      <w:ind w:firstLine="0"/>
      <w:jc w:val="left"/>
      <w:rPr>
        <w:rFonts w:ascii="Open Sans" w:eastAsia="Open Sans" w:hAnsi="Open Sans" w:cs="Open Sans"/>
        <w:color w:val="000000"/>
        <w:sz w:val="20"/>
        <w:szCs w:val="20"/>
      </w:rPr>
    </w:pPr>
    <w:r w:rsidRPr="00E32193">
      <w:rPr>
        <w:rFonts w:ascii="Open Sans" w:eastAsia="Open Sans" w:hAnsi="Open Sans" w:cs="Open Sans"/>
        <w:color w:val="000000"/>
        <w:sz w:val="20"/>
        <w:szCs w:val="20"/>
      </w:rPr>
      <w:t>Vol. 9, Issue 2, August 2026</w:t>
    </w:r>
  </w:p>
  <w:p w14:paraId="4682EBD0" w14:textId="77777777" w:rsidR="00780386" w:rsidRPr="00E32193" w:rsidRDefault="00C443EB">
    <w:pPr>
      <w:pBdr>
        <w:top w:val="nil"/>
        <w:left w:val="nil"/>
        <w:bottom w:val="nil"/>
        <w:right w:val="nil"/>
        <w:between w:val="nil"/>
      </w:pBdr>
      <w:tabs>
        <w:tab w:val="center" w:pos="4513"/>
        <w:tab w:val="right" w:pos="9026"/>
      </w:tabs>
      <w:ind w:firstLine="0"/>
      <w:jc w:val="left"/>
      <w:rPr>
        <w:rFonts w:ascii="Open Sans" w:eastAsia="Open Sans" w:hAnsi="Open Sans" w:cs="Open Sans"/>
        <w:color w:val="000000"/>
        <w:sz w:val="20"/>
        <w:szCs w:val="20"/>
      </w:rPr>
    </w:pPr>
    <w:r w:rsidRPr="00E32193">
      <w:rPr>
        <w:rFonts w:ascii="Open Sans" w:eastAsia="Open Sans" w:hAnsi="Open Sans" w:cs="Open Sans"/>
        <w:color w:val="000000"/>
        <w:sz w:val="20"/>
        <w:szCs w:val="20"/>
      </w:rPr>
      <w:t>p-ISSN: 2615-8671</w:t>
    </w:r>
  </w:p>
  <w:p w14:paraId="279D7197" w14:textId="77777777" w:rsidR="00780386" w:rsidRPr="00E32193" w:rsidRDefault="00C443EB">
    <w:pPr>
      <w:pBdr>
        <w:top w:val="nil"/>
        <w:left w:val="nil"/>
        <w:bottom w:val="single" w:sz="12" w:space="1" w:color="FFDE59"/>
        <w:right w:val="nil"/>
        <w:between w:val="nil"/>
      </w:pBdr>
      <w:tabs>
        <w:tab w:val="center" w:pos="4513"/>
        <w:tab w:val="right" w:pos="9026"/>
      </w:tabs>
      <w:ind w:firstLine="0"/>
      <w:jc w:val="left"/>
      <w:rPr>
        <w:rFonts w:ascii="Open Sans" w:eastAsia="Open Sans" w:hAnsi="Open Sans" w:cs="Open Sans"/>
        <w:color w:val="000000"/>
        <w:sz w:val="20"/>
        <w:szCs w:val="20"/>
      </w:rPr>
    </w:pPr>
    <w:r w:rsidRPr="00E32193">
      <w:rPr>
        <w:rFonts w:ascii="Open Sans" w:eastAsia="Open Sans" w:hAnsi="Open Sans" w:cs="Open Sans"/>
        <w:color w:val="000000"/>
        <w:sz w:val="20"/>
        <w:szCs w:val="20"/>
      </w:rPr>
      <w:t>e-ISSN: 2615-868X</w:t>
    </w:r>
  </w:p>
  <w:p w14:paraId="5E1B7E54" w14:textId="77777777" w:rsidR="00780386" w:rsidRDefault="0078038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4B9C" w14:textId="36E996A1" w:rsidR="00B77FFA" w:rsidRPr="00E32193" w:rsidRDefault="00817F0D" w:rsidP="00B77FFA">
    <w:pPr>
      <w:pBdr>
        <w:top w:val="nil"/>
        <w:left w:val="nil"/>
        <w:bottom w:val="nil"/>
        <w:right w:val="nil"/>
        <w:between w:val="nil"/>
      </w:pBdr>
      <w:ind w:firstLine="0"/>
      <w:jc w:val="right"/>
      <w:rPr>
        <w:rFonts w:ascii="Open Sans" w:eastAsia="Times New Roman" w:hAnsi="Open Sans" w:cs="Open Sans"/>
        <w:b/>
        <w:bCs/>
        <w:color w:val="000000"/>
        <w:sz w:val="20"/>
        <w:szCs w:val="20"/>
      </w:rPr>
    </w:pPr>
    <w:r w:rsidRPr="00E32193">
      <w:rPr>
        <w:rFonts w:ascii="Open Sans" w:eastAsia="Times New Roman" w:hAnsi="Open Sans" w:cs="Open Sans"/>
        <w:b/>
        <w:bCs/>
        <w:color w:val="000000"/>
        <w:sz w:val="20"/>
        <w:szCs w:val="20"/>
      </w:rPr>
      <w:t xml:space="preserve">Exploring teachers’ strategies in teaching </w:t>
    </w:r>
    <w:r>
      <w:rPr>
        <w:rFonts w:ascii="Open Sans" w:eastAsia="Times New Roman" w:hAnsi="Open Sans" w:cs="Open Sans"/>
        <w:b/>
        <w:bCs/>
        <w:color w:val="000000"/>
        <w:sz w:val="20"/>
        <w:szCs w:val="20"/>
      </w:rPr>
      <w:t>E</w:t>
    </w:r>
    <w:r w:rsidRPr="00E32193">
      <w:rPr>
        <w:rFonts w:ascii="Open Sans" w:eastAsia="Times New Roman" w:hAnsi="Open Sans" w:cs="Open Sans"/>
        <w:b/>
        <w:bCs/>
        <w:color w:val="000000"/>
        <w:sz w:val="20"/>
        <w:szCs w:val="20"/>
      </w:rPr>
      <w:t xml:space="preserve">nglish vocabulary at a vocational high school in </w:t>
    </w:r>
    <w:r>
      <w:rPr>
        <w:rFonts w:ascii="Open Sans" w:eastAsia="Times New Roman" w:hAnsi="Open Sans" w:cs="Open Sans"/>
        <w:b/>
        <w:bCs/>
        <w:color w:val="000000"/>
        <w:sz w:val="20"/>
        <w:szCs w:val="20"/>
      </w:rPr>
      <w:t>K</w:t>
    </w:r>
    <w:r w:rsidRPr="00E32193">
      <w:rPr>
        <w:rFonts w:ascii="Open Sans" w:eastAsia="Times New Roman" w:hAnsi="Open Sans" w:cs="Open Sans"/>
        <w:b/>
        <w:bCs/>
        <w:color w:val="000000"/>
        <w:sz w:val="20"/>
        <w:szCs w:val="20"/>
      </w:rPr>
      <w:t>arawang</w:t>
    </w:r>
  </w:p>
  <w:p w14:paraId="6AC261F9" w14:textId="72005671" w:rsidR="00B77FFA" w:rsidRPr="00E32193" w:rsidRDefault="00B77FFA" w:rsidP="00B77FFA">
    <w:pPr>
      <w:pBdr>
        <w:top w:val="nil"/>
        <w:left w:val="nil"/>
        <w:bottom w:val="nil"/>
        <w:right w:val="nil"/>
        <w:between w:val="nil"/>
      </w:pBdr>
      <w:ind w:firstLine="0"/>
      <w:jc w:val="right"/>
      <w:rPr>
        <w:rFonts w:ascii="Open Sans" w:eastAsia="Times New Roman" w:hAnsi="Open Sans" w:cs="Open Sans"/>
        <w:bCs/>
        <w:color w:val="000000"/>
        <w:sz w:val="20"/>
        <w:szCs w:val="20"/>
      </w:rPr>
    </w:pPr>
    <w:r w:rsidRPr="00E32193">
      <w:rPr>
        <w:rFonts w:ascii="Open Sans" w:eastAsia="Times New Roman" w:hAnsi="Open Sans" w:cs="Open Sans"/>
        <w:bCs/>
        <w:color w:val="000000"/>
        <w:sz w:val="20"/>
        <w:szCs w:val="20"/>
      </w:rPr>
      <w:t>Lokita Paloma Dewi¹</w:t>
    </w:r>
    <w:r w:rsidRPr="00E32193">
      <w:rPr>
        <w:rFonts w:ascii="Open Sans" w:eastAsia="Times New Roman" w:hAnsi="Open Sans" w:cs="Open Sans"/>
        <w:color w:val="000000"/>
        <w:sz w:val="20"/>
        <w:szCs w:val="20"/>
      </w:rPr>
      <w:t xml:space="preserve">, </w:t>
    </w:r>
    <w:r w:rsidRPr="00E32193">
      <w:rPr>
        <w:rFonts w:ascii="Open Sans" w:eastAsia="Times New Roman" w:hAnsi="Open Sans" w:cs="Open Sans"/>
        <w:bCs/>
        <w:color w:val="000000"/>
        <w:sz w:val="20"/>
        <w:szCs w:val="20"/>
      </w:rPr>
      <w:t>Fela Dafitri²</w:t>
    </w:r>
    <w:r w:rsidRPr="00E32193">
      <w:rPr>
        <w:rFonts w:ascii="Open Sans" w:eastAsia="Times New Roman" w:hAnsi="Open Sans" w:cs="Open Sans"/>
        <w:color w:val="000000"/>
        <w:sz w:val="20"/>
        <w:szCs w:val="20"/>
      </w:rPr>
      <w:t xml:space="preserve">, </w:t>
    </w:r>
    <w:r w:rsidRPr="00E32193">
      <w:rPr>
        <w:rFonts w:ascii="Open Sans" w:eastAsia="Times New Roman" w:hAnsi="Open Sans" w:cs="Open Sans"/>
        <w:bCs/>
        <w:color w:val="000000"/>
        <w:sz w:val="20"/>
        <w:szCs w:val="20"/>
      </w:rPr>
      <w:t>Yousef Bani Ahmad³</w:t>
    </w:r>
  </w:p>
  <w:p w14:paraId="4B1D8BF8" w14:textId="3E35814C" w:rsidR="00780386" w:rsidRPr="00E32193" w:rsidRDefault="00C443EB" w:rsidP="00B77FFA">
    <w:pPr>
      <w:pBdr>
        <w:top w:val="nil"/>
        <w:left w:val="nil"/>
        <w:bottom w:val="nil"/>
        <w:right w:val="nil"/>
        <w:between w:val="nil"/>
      </w:pBdr>
      <w:ind w:firstLine="0"/>
      <w:jc w:val="right"/>
      <w:rPr>
        <w:rFonts w:ascii="Open Sans" w:eastAsia="Times New Roman" w:hAnsi="Open Sans" w:cs="Open Sans"/>
        <w:color w:val="000000"/>
        <w:sz w:val="20"/>
        <w:szCs w:val="20"/>
      </w:rPr>
    </w:pPr>
    <w:r w:rsidRPr="00E32193">
      <w:rPr>
        <w:rFonts w:ascii="Open Sans" w:eastAsia="Open Sans" w:hAnsi="Open Sans" w:cs="Open Sans"/>
        <w:color w:val="000000"/>
        <w:sz w:val="20"/>
        <w:szCs w:val="20"/>
      </w:rPr>
      <w:t>p-ISSN: 2615-8671</w:t>
    </w:r>
  </w:p>
  <w:p w14:paraId="478F815C" w14:textId="77777777" w:rsidR="00780386" w:rsidRDefault="00C443EB" w:rsidP="00B77FFA">
    <w:pPr>
      <w:pBdr>
        <w:top w:val="nil"/>
        <w:left w:val="nil"/>
        <w:bottom w:val="single" w:sz="12" w:space="1" w:color="FFDE59"/>
        <w:right w:val="nil"/>
        <w:between w:val="nil"/>
      </w:pBdr>
      <w:tabs>
        <w:tab w:val="center" w:pos="4513"/>
        <w:tab w:val="right" w:pos="9026"/>
      </w:tabs>
      <w:ind w:firstLine="0"/>
      <w:jc w:val="right"/>
      <w:rPr>
        <w:rFonts w:ascii="Open Sans" w:eastAsia="Open Sans" w:hAnsi="Open Sans" w:cs="Open Sans"/>
        <w:color w:val="000000"/>
        <w:sz w:val="20"/>
        <w:szCs w:val="20"/>
      </w:rPr>
    </w:pPr>
    <w:r w:rsidRPr="00E32193">
      <w:rPr>
        <w:rFonts w:ascii="Open Sans" w:eastAsia="Open Sans" w:hAnsi="Open Sans" w:cs="Open Sans"/>
        <w:color w:val="000000"/>
        <w:sz w:val="20"/>
        <w:szCs w:val="20"/>
      </w:rPr>
      <w:t>e-ISSN: 2615-868X</w:t>
    </w:r>
  </w:p>
  <w:p w14:paraId="67627F36" w14:textId="77777777" w:rsidR="00780386" w:rsidRDefault="00780386">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174C" w14:textId="77777777" w:rsidR="00E32193" w:rsidRDefault="00E321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86"/>
    <w:rsid w:val="000C4B32"/>
    <w:rsid w:val="001A38DE"/>
    <w:rsid w:val="0032098B"/>
    <w:rsid w:val="0051295B"/>
    <w:rsid w:val="0054257C"/>
    <w:rsid w:val="00780386"/>
    <w:rsid w:val="00817F0D"/>
    <w:rsid w:val="008642FC"/>
    <w:rsid w:val="008E0200"/>
    <w:rsid w:val="00AE75EF"/>
    <w:rsid w:val="00B77FFA"/>
    <w:rsid w:val="00BB4F9D"/>
    <w:rsid w:val="00C443EB"/>
    <w:rsid w:val="00E32193"/>
    <w:rsid w:val="00E32FF6"/>
    <w:rsid w:val="00EB3F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1B83D"/>
  <w15:docId w15:val="{B4534267-11B1-4B8E-B716-41BB0DF8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Baskerville" w:eastAsia="Libre Baskerville" w:hAnsi="Libre Baskerville" w:cs="Libre Baskerville"/>
        <w:sz w:val="22"/>
        <w:szCs w:val="22"/>
        <w:lang w:val="en" w:eastAsia="en-ID"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ind w:firstLine="0"/>
      <w:jc w:val="left"/>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character" w:styleId="Hyperlink">
    <w:name w:val="Hyperlink"/>
    <w:uiPriority w:val="99"/>
    <w:unhideWhenUsed/>
    <w:rsid w:val="00E32FF6"/>
    <w:rPr>
      <w:color w:val="0000FF"/>
      <w:u w:val="single"/>
    </w:rPr>
  </w:style>
  <w:style w:type="paragraph" w:styleId="Header">
    <w:name w:val="header"/>
    <w:basedOn w:val="Normal"/>
    <w:link w:val="HeaderChar"/>
    <w:uiPriority w:val="99"/>
    <w:unhideWhenUsed/>
    <w:rsid w:val="00B77FFA"/>
    <w:pPr>
      <w:tabs>
        <w:tab w:val="center" w:pos="4680"/>
        <w:tab w:val="right" w:pos="9360"/>
      </w:tabs>
    </w:pPr>
  </w:style>
  <w:style w:type="character" w:customStyle="1" w:styleId="HeaderChar">
    <w:name w:val="Header Char"/>
    <w:basedOn w:val="DefaultParagraphFont"/>
    <w:link w:val="Header"/>
    <w:uiPriority w:val="99"/>
    <w:rsid w:val="00B7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5606/srj-yappi.v3i1.1711" TargetMode="External"/><Relationship Id="rId18" Type="http://schemas.openxmlformats.org/officeDocument/2006/relationships/hyperlink" Target="https://doi.org/10.26858/eralingua.v5i1.13783" TargetMode="External"/><Relationship Id="rId26" Type="http://schemas.openxmlformats.org/officeDocument/2006/relationships/hyperlink" Target="https://doi.org/10.26858/performance.v3i1.59579" TargetMode="External"/><Relationship Id="rId39" Type="http://schemas.openxmlformats.org/officeDocument/2006/relationships/hyperlink" Target="https://doi.org/10.63922/ijevss.v4i01.1564" TargetMode="External"/><Relationship Id="rId21" Type="http://schemas.openxmlformats.org/officeDocument/2006/relationships/hyperlink" Target="https://doi.org/10.30605/cjpe.8.2.2025.6459" TargetMode="External"/><Relationship Id="rId34" Type="http://schemas.openxmlformats.org/officeDocument/2006/relationships/hyperlink" Target="https://doi.org/10.53625/jabdi.v2i9.4850" TargetMode="External"/><Relationship Id="rId42" Type="http://schemas.openxmlformats.org/officeDocument/2006/relationships/hyperlink" Target="https://www.journal.unrika.ac.id/index.php/jurnaldms/article/view/8193/pdf" TargetMode="External"/><Relationship Id="rId47" Type="http://schemas.openxmlformats.org/officeDocument/2006/relationships/hyperlink" Target="https://doi.org/10.23887/jpbi.v10i3.58140"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51574/ijrer.v1i2.332" TargetMode="External"/><Relationship Id="rId29" Type="http://schemas.openxmlformats.org/officeDocument/2006/relationships/hyperlink" Target="https://doi.org/10.23887/jippg.v4i3.39029" TargetMode="External"/><Relationship Id="rId11" Type="http://schemas.openxmlformats.org/officeDocument/2006/relationships/hyperlink" Target="mailto:yousef.baniahmad@fkip.unsika.ac.id" TargetMode="External"/><Relationship Id="rId24" Type="http://schemas.openxmlformats.org/officeDocument/2006/relationships/hyperlink" Target="https://doi.org/10.14738/assrj.75.8263" TargetMode="External"/><Relationship Id="rId32" Type="http://schemas.openxmlformats.org/officeDocument/2006/relationships/hyperlink" Target="https://doi.org/10.31004/jele.v7i1.182" TargetMode="External"/><Relationship Id="rId37" Type="http://schemas.openxmlformats.org/officeDocument/2006/relationships/hyperlink" Target="https://doi.org/10.33422/icteducation.v1i1.712" TargetMode="External"/><Relationship Id="rId40" Type="http://schemas.openxmlformats.org/officeDocument/2006/relationships/hyperlink" Target="https://doi.org/10.56498/399212022" TargetMode="External"/><Relationship Id="rId45" Type="http://schemas.openxmlformats.org/officeDocument/2006/relationships/hyperlink" Target="https://doi.org/10.35905/inspiring.v5i2.2721" TargetMode="External"/><Relationship Id="rId53"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e-journal.stkipsiliwangi.ac.id/index.php/eltin/article/view/4674" TargetMode="External"/><Relationship Id="rId4" Type="http://schemas.openxmlformats.org/officeDocument/2006/relationships/webSettings" Target="webSettings.xml"/><Relationship Id="rId9" Type="http://schemas.openxmlformats.org/officeDocument/2006/relationships/hyperlink" Target="mailto:2210631060022@student.unsika.ac.id" TargetMode="External"/><Relationship Id="rId14" Type="http://schemas.openxmlformats.org/officeDocument/2006/relationships/hyperlink" Target="https://doi.org/10.21608/mkwn.2022.231066" TargetMode="External"/><Relationship Id="rId22" Type="http://schemas.openxmlformats.org/officeDocument/2006/relationships/hyperlink" Target="https://doi.org/10.55681/nusra.v3i2.432" TargetMode="External"/><Relationship Id="rId27" Type="http://schemas.openxmlformats.org/officeDocument/2006/relationships/hyperlink" Target="https://doi.org/10.46245/ijorer.v5i4.635" TargetMode="External"/><Relationship Id="rId30" Type="http://schemas.openxmlformats.org/officeDocument/2006/relationships/hyperlink" Target="https://doi.org/10.1002/j.2334-4822.1992.tb00213.x" TargetMode="External"/><Relationship Id="rId35" Type="http://schemas.openxmlformats.org/officeDocument/2006/relationships/hyperlink" Target="https://ojs.unm.ac.id/JoEELE/article/view/35432" TargetMode="External"/><Relationship Id="rId43" Type="http://schemas.openxmlformats.org/officeDocument/2006/relationships/hyperlink" Target="https://e-journal.unimudasorong.ac.id/index.php/interactionjournal/article/view/2398" TargetMode="External"/><Relationship Id="rId48" Type="http://schemas.openxmlformats.org/officeDocument/2006/relationships/hyperlink" Target="https://doi.org/10.32629/jher.v3i2.755" TargetMode="Externa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ejournal.unesa.ac.id/index.php/retain/article/view/35878" TargetMode="External"/><Relationship Id="rId17" Type="http://schemas.openxmlformats.org/officeDocument/2006/relationships/hyperlink" Target="https://doi.org/10.5281/zenodo.4112264" TargetMode="External"/><Relationship Id="rId25" Type="http://schemas.openxmlformats.org/officeDocument/2006/relationships/hyperlink" Target="https://doi.org/10.30743/ll.v4i2.3064" TargetMode="External"/><Relationship Id="rId33" Type="http://schemas.openxmlformats.org/officeDocument/2006/relationships/hyperlink" Target="https://doi.org/10.5281/zenodo.16946746" TargetMode="External"/><Relationship Id="rId38" Type="http://schemas.openxmlformats.org/officeDocument/2006/relationships/hyperlink" Target="https://doi.org/10.53623/apga.v3i2.468" TargetMode="External"/><Relationship Id="rId46" Type="http://schemas.openxmlformats.org/officeDocument/2006/relationships/hyperlink" Target="https://doi.org/10.26737/jetl.v5i1.1689" TargetMode="External"/><Relationship Id="rId20" Type="http://schemas.openxmlformats.org/officeDocument/2006/relationships/hyperlink" Target="https://doi.org/10.52208/klasikal.v7i1.1300" TargetMode="External"/><Relationship Id="rId41" Type="http://schemas.openxmlformats.org/officeDocument/2006/relationships/hyperlink" Target="https://doi.org/10.33373/dms.v13i3.8193"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oi.org/10.34050/els-jish.v8i2.45028" TargetMode="External"/><Relationship Id="rId23" Type="http://schemas.openxmlformats.org/officeDocument/2006/relationships/hyperlink" Target="https://doi.org/10.33503/journey.v7i1.866" TargetMode="External"/><Relationship Id="rId28" Type="http://schemas.openxmlformats.org/officeDocument/2006/relationships/hyperlink" Target="https://jurnal.penerbitwidina.com/" TargetMode="External"/><Relationship Id="rId36" Type="http://schemas.openxmlformats.org/officeDocument/2006/relationships/hyperlink" Target="https://doi.org/10.56983/jlta.v2i1.71" TargetMode="External"/><Relationship Id="rId49" Type="http://schemas.openxmlformats.org/officeDocument/2006/relationships/hyperlink" Target="https://doi.org/10.1186/s40561-024-00316-7" TargetMode="External"/><Relationship Id="rId57" Type="http://schemas.openxmlformats.org/officeDocument/2006/relationships/theme" Target="theme/theme1.xml"/><Relationship Id="rId10" Type="http://schemas.openxmlformats.org/officeDocument/2006/relationships/hyperlink" Target="mailto:fela.dafitri@fkip.unsika.ac.id" TargetMode="External"/><Relationship Id="rId31" Type="http://schemas.openxmlformats.org/officeDocument/2006/relationships/hyperlink" Target="https://doi.org/10.56855/jpr.v3i1.977" TargetMode="External"/><Relationship Id="rId44" Type="http://schemas.openxmlformats.org/officeDocument/2006/relationships/hyperlink" Target="https://jurnal.um-palembang.ac.id/englishcommunity/article/view/3327" TargetMode="External"/><Relationship Id="rId5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76khaTTqkI6kvEmQFzOlbtj/Tg==">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6631</Words>
  <Characters>37801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Lokita Paloma Dewi</dc:creator>
  <cp:lastModifiedBy>User</cp:lastModifiedBy>
  <cp:revision>2</cp:revision>
  <cp:lastPrinted>2026-07-21T15:32:00Z</cp:lastPrinted>
  <dcterms:created xsi:type="dcterms:W3CDTF">2026-08-07T16:13:00Z</dcterms:created>
  <dcterms:modified xsi:type="dcterms:W3CDTF">2026-08-07T16:13:00Z</dcterms:modified>
</cp:coreProperties>
</file>